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28071B">
      <w:pPr>
        <w:adjustRightInd w:val="0"/>
        <w:snapToGrid w:val="0"/>
        <w:ind w:left="480" w:firstLine="0" w:firstLineChars="0"/>
        <w:rPr>
          <w:lang w:eastAsia="zh-CN"/>
        </w:rPr>
      </w:pPr>
      <w:bookmarkStart w:id="0" w:name="_Hlk515176001"/>
    </w:p>
    <w:p w14:paraId="4F0E3A81">
      <w:pPr>
        <w:adjustRightInd w:val="0"/>
        <w:snapToGrid w:val="0"/>
        <w:ind w:left="480" w:firstLine="0" w:firstLineChars="0"/>
        <w:rPr>
          <w:lang w:eastAsia="zh-CN"/>
        </w:rPr>
      </w:pPr>
    </w:p>
    <w:p w14:paraId="1A251ABA">
      <w:pPr>
        <w:adjustRightInd w:val="0"/>
        <w:snapToGrid w:val="0"/>
        <w:ind w:left="480" w:firstLine="0" w:firstLineChars="0"/>
        <w:rPr>
          <w:lang w:eastAsia="zh-CN"/>
        </w:rPr>
      </w:pPr>
    </w:p>
    <w:p w14:paraId="7484A3B5">
      <w:pPr>
        <w:adjustRightInd w:val="0"/>
        <w:snapToGrid w:val="0"/>
        <w:ind w:left="480" w:firstLine="0" w:firstLineChars="0"/>
        <w:rPr>
          <w:lang w:eastAsia="zh-CN"/>
        </w:rPr>
      </w:pPr>
    </w:p>
    <w:p w14:paraId="21B9FCCE">
      <w:pPr>
        <w:adjustRightInd w:val="0"/>
        <w:snapToGrid w:val="0"/>
        <w:ind w:left="480" w:firstLine="0" w:firstLineChars="0"/>
        <w:rPr>
          <w:lang w:eastAsia="zh-CN"/>
        </w:rPr>
      </w:pPr>
    </w:p>
    <w:p w14:paraId="6BE9DF32">
      <w:pPr>
        <w:adjustRightInd w:val="0"/>
        <w:snapToGrid w:val="0"/>
        <w:ind w:left="480" w:firstLine="0" w:firstLineChars="0"/>
        <w:rPr>
          <w:lang w:eastAsia="zh-CN"/>
        </w:rPr>
      </w:pPr>
    </w:p>
    <w:p w14:paraId="0A344626">
      <w:pPr>
        <w:adjustRightInd w:val="0"/>
        <w:snapToGrid w:val="0"/>
        <w:ind w:left="480" w:firstLine="0" w:firstLineChars="0"/>
        <w:rPr>
          <w:lang w:eastAsia="zh-CN"/>
        </w:rPr>
      </w:pPr>
    </w:p>
    <w:p w14:paraId="7E95D633">
      <w:pPr>
        <w:shd w:val="clear" w:color="auto" w:fill="FFFFFF"/>
        <w:tabs>
          <w:tab w:val="left" w:pos="0"/>
        </w:tabs>
        <w:adjustRightInd w:val="0"/>
        <w:snapToGrid w:val="0"/>
        <w:spacing w:line="360" w:lineRule="auto"/>
        <w:ind w:firstLine="0" w:firstLineChars="0"/>
        <w:jc w:val="center"/>
        <w:rPr>
          <w:rFonts w:hint="eastAsia" w:eastAsia="黑体"/>
          <w:b/>
          <w:color w:val="000000"/>
          <w:sz w:val="48"/>
          <w:szCs w:val="48"/>
          <w:lang w:eastAsia="zh-CN"/>
        </w:rPr>
      </w:pPr>
      <w:r>
        <w:rPr>
          <w:rFonts w:hint="eastAsia" w:eastAsia="黑体"/>
          <w:b/>
          <w:color w:val="000000"/>
          <w:sz w:val="48"/>
          <w:szCs w:val="48"/>
          <w:lang w:eastAsia="zh-CN"/>
        </w:rPr>
        <w:t>湖库水生态修复技术指南 第1部分：水生生物修复（试行）编制说明</w:t>
      </w:r>
    </w:p>
    <w:p w14:paraId="68B5288C">
      <w:pPr>
        <w:shd w:val="clear" w:color="auto" w:fill="FFFFFF"/>
        <w:tabs>
          <w:tab w:val="left" w:pos="540"/>
        </w:tabs>
        <w:adjustRightInd w:val="0"/>
        <w:snapToGrid w:val="0"/>
        <w:spacing w:line="420" w:lineRule="exact"/>
        <w:ind w:left="0" w:leftChars="0" w:right="-20" w:firstLine="0" w:firstLineChars="0"/>
        <w:rPr>
          <w:color w:val="000000"/>
          <w:w w:val="99"/>
          <w:position w:val="-1"/>
          <w:sz w:val="28"/>
          <w:szCs w:val="28"/>
          <w:lang w:eastAsia="zh-CN"/>
        </w:rPr>
      </w:pPr>
    </w:p>
    <w:p w14:paraId="7AAD8B06">
      <w:pPr>
        <w:shd w:val="clear" w:color="auto" w:fill="FFFFFF"/>
        <w:tabs>
          <w:tab w:val="left" w:pos="540"/>
        </w:tabs>
        <w:adjustRightInd w:val="0"/>
        <w:snapToGrid w:val="0"/>
        <w:spacing w:line="420" w:lineRule="exact"/>
        <w:ind w:left="0" w:leftChars="0" w:right="-20" w:firstLine="0" w:firstLineChars="0"/>
        <w:rPr>
          <w:color w:val="000000"/>
          <w:w w:val="99"/>
          <w:position w:val="-1"/>
          <w:sz w:val="28"/>
          <w:szCs w:val="28"/>
          <w:lang w:eastAsia="zh-CN"/>
        </w:rPr>
      </w:pPr>
    </w:p>
    <w:p w14:paraId="7CABA853">
      <w:pPr>
        <w:shd w:val="clear" w:color="auto" w:fill="FFFFFF"/>
        <w:tabs>
          <w:tab w:val="left" w:pos="540"/>
        </w:tabs>
        <w:adjustRightInd w:val="0"/>
        <w:snapToGrid w:val="0"/>
        <w:spacing w:line="420" w:lineRule="exact"/>
        <w:ind w:left="0" w:leftChars="0" w:right="-20" w:firstLine="0" w:firstLineChars="0"/>
        <w:rPr>
          <w:color w:val="000000"/>
          <w:w w:val="99"/>
          <w:position w:val="-1"/>
          <w:sz w:val="28"/>
          <w:szCs w:val="28"/>
          <w:lang w:eastAsia="zh-CN"/>
        </w:rPr>
      </w:pPr>
    </w:p>
    <w:p w14:paraId="1ABCDA0B">
      <w:pPr>
        <w:shd w:val="clear" w:color="auto" w:fill="FFFFFF"/>
        <w:tabs>
          <w:tab w:val="left" w:pos="540"/>
        </w:tabs>
        <w:adjustRightInd w:val="0"/>
        <w:snapToGrid w:val="0"/>
        <w:spacing w:line="420" w:lineRule="exact"/>
        <w:ind w:left="0" w:leftChars="0" w:right="-20" w:firstLine="0" w:firstLineChars="0"/>
        <w:rPr>
          <w:color w:val="000000"/>
          <w:w w:val="99"/>
          <w:position w:val="-1"/>
          <w:sz w:val="28"/>
          <w:szCs w:val="28"/>
          <w:lang w:eastAsia="zh-CN"/>
        </w:rPr>
      </w:pPr>
    </w:p>
    <w:p w14:paraId="0E6AE4CD">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2E63BCFA">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34DD7A53">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0F99F1DB">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3CBAB2EE">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09F2F149">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70F965DB">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44824DCF">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4D941888">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51F5BAB9">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029DE9B3">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7CEB8B33">
      <w:pPr>
        <w:shd w:val="clear" w:color="auto" w:fill="FFFFFF"/>
        <w:tabs>
          <w:tab w:val="left" w:pos="540"/>
        </w:tabs>
        <w:adjustRightInd w:val="0"/>
        <w:snapToGrid w:val="0"/>
        <w:spacing w:line="420" w:lineRule="exact"/>
        <w:ind w:left="118" w:right="-20" w:firstLine="433"/>
        <w:rPr>
          <w:color w:val="000000"/>
          <w:w w:val="99"/>
          <w:position w:val="-1"/>
          <w:sz w:val="22"/>
          <w:lang w:eastAsia="zh-CN"/>
        </w:rPr>
      </w:pPr>
    </w:p>
    <w:p w14:paraId="1D7B3DA1">
      <w:pPr>
        <w:shd w:val="clear" w:color="auto" w:fill="FFFFFF"/>
        <w:tabs>
          <w:tab w:val="left" w:pos="540"/>
        </w:tabs>
        <w:adjustRightInd w:val="0"/>
        <w:snapToGrid w:val="0"/>
        <w:spacing w:line="420" w:lineRule="exact"/>
        <w:ind w:left="118" w:right="-20" w:firstLine="433"/>
        <w:rPr>
          <w:color w:val="000000"/>
          <w:w w:val="99"/>
          <w:position w:val="-1"/>
          <w:sz w:val="22"/>
          <w:lang w:eastAsia="zh-CN"/>
        </w:rPr>
      </w:pPr>
    </w:p>
    <w:p w14:paraId="269EF30E">
      <w:pPr>
        <w:shd w:val="clear" w:color="auto" w:fill="FFFFFF"/>
        <w:tabs>
          <w:tab w:val="left" w:pos="2962"/>
        </w:tabs>
        <w:adjustRightInd w:val="0"/>
        <w:snapToGrid w:val="0"/>
        <w:spacing w:line="420" w:lineRule="exact"/>
        <w:ind w:right="-20" w:firstLine="0" w:firstLineChars="0"/>
        <w:jc w:val="center"/>
        <w:rPr>
          <w:rFonts w:hint="eastAsia" w:ascii="仿宋_GB2312" w:hAnsi="仿宋_GB2312" w:eastAsia="仿宋_GB2312" w:cs="仿宋_GB2312"/>
          <w:b/>
          <w:bCs w:val="0"/>
          <w:color w:val="000000"/>
          <w:sz w:val="32"/>
          <w:szCs w:val="32"/>
          <w:lang w:eastAsia="zh-CN"/>
        </w:rPr>
      </w:pPr>
      <w:r>
        <w:rPr>
          <w:rFonts w:hint="eastAsia" w:ascii="仿宋_GB2312" w:hAnsi="仿宋_GB2312" w:eastAsia="仿宋_GB2312" w:cs="仿宋_GB2312"/>
          <w:b/>
          <w:bCs w:val="0"/>
          <w:color w:val="000000"/>
          <w:sz w:val="32"/>
          <w:szCs w:val="32"/>
          <w:lang w:val="en-US" w:eastAsia="zh-CN"/>
        </w:rPr>
        <w:t>指南</w:t>
      </w:r>
      <w:r>
        <w:rPr>
          <w:rFonts w:hint="eastAsia" w:ascii="仿宋_GB2312" w:hAnsi="仿宋_GB2312" w:eastAsia="仿宋_GB2312" w:cs="仿宋_GB2312"/>
          <w:b/>
          <w:bCs w:val="0"/>
          <w:color w:val="000000"/>
          <w:sz w:val="32"/>
          <w:szCs w:val="32"/>
          <w:lang w:eastAsia="zh-CN"/>
        </w:rPr>
        <w:t>编制组</w:t>
      </w:r>
    </w:p>
    <w:p w14:paraId="0CACB69B">
      <w:pPr>
        <w:shd w:val="clear" w:color="auto" w:fill="FFFFFF"/>
        <w:tabs>
          <w:tab w:val="left" w:pos="2962"/>
        </w:tabs>
        <w:adjustRightInd w:val="0"/>
        <w:snapToGrid w:val="0"/>
        <w:spacing w:line="420" w:lineRule="exact"/>
        <w:ind w:right="-20" w:firstLine="0" w:firstLineChars="0"/>
        <w:jc w:val="center"/>
        <w:rPr>
          <w:rFonts w:hint="eastAsia" w:ascii="仿宋_GB2312" w:hAnsi="仿宋_GB2312" w:eastAsia="仿宋_GB2312" w:cs="仿宋_GB2312"/>
          <w:b/>
          <w:bCs w:val="0"/>
          <w:color w:val="000000"/>
          <w:sz w:val="32"/>
          <w:szCs w:val="32"/>
          <w:lang w:eastAsia="zh-CN"/>
        </w:rPr>
      </w:pPr>
      <w:r>
        <w:rPr>
          <w:rFonts w:hint="eastAsia" w:ascii="仿宋_GB2312" w:hAnsi="仿宋_GB2312" w:eastAsia="仿宋_GB2312" w:cs="仿宋_GB2312"/>
          <w:b/>
          <w:bCs w:val="0"/>
          <w:color w:val="000000"/>
          <w:sz w:val="32"/>
          <w:szCs w:val="32"/>
          <w:lang w:eastAsia="zh-CN"/>
        </w:rPr>
        <w:t>202</w:t>
      </w:r>
      <w:r>
        <w:rPr>
          <w:rFonts w:hint="eastAsia" w:ascii="仿宋_GB2312" w:hAnsi="仿宋_GB2312" w:eastAsia="仿宋_GB2312" w:cs="仿宋_GB2312"/>
          <w:b/>
          <w:bCs w:val="0"/>
          <w:color w:val="000000"/>
          <w:sz w:val="32"/>
          <w:szCs w:val="32"/>
          <w:lang w:val="en-US" w:eastAsia="zh-CN"/>
        </w:rPr>
        <w:t>5</w:t>
      </w:r>
      <w:r>
        <w:rPr>
          <w:rFonts w:hint="eastAsia" w:ascii="仿宋_GB2312" w:hAnsi="仿宋_GB2312" w:eastAsia="仿宋_GB2312" w:cs="仿宋_GB2312"/>
          <w:b/>
          <w:bCs w:val="0"/>
          <w:color w:val="000000"/>
          <w:sz w:val="32"/>
          <w:szCs w:val="32"/>
          <w:lang w:eastAsia="zh-CN"/>
        </w:rPr>
        <w:t>年</w:t>
      </w:r>
      <w:r>
        <w:rPr>
          <w:rFonts w:hint="eastAsia" w:ascii="仿宋_GB2312" w:hAnsi="仿宋_GB2312" w:eastAsia="仿宋_GB2312" w:cs="仿宋_GB2312"/>
          <w:b/>
          <w:bCs w:val="0"/>
          <w:color w:val="000000"/>
          <w:sz w:val="32"/>
          <w:szCs w:val="32"/>
          <w:lang w:val="en-US" w:eastAsia="zh-CN"/>
        </w:rPr>
        <w:t>7</w:t>
      </w:r>
      <w:r>
        <w:rPr>
          <w:rFonts w:hint="eastAsia" w:ascii="仿宋_GB2312" w:hAnsi="仿宋_GB2312" w:eastAsia="仿宋_GB2312" w:cs="仿宋_GB2312"/>
          <w:b/>
          <w:bCs w:val="0"/>
          <w:color w:val="000000"/>
          <w:sz w:val="32"/>
          <w:szCs w:val="32"/>
          <w:lang w:eastAsia="zh-CN"/>
        </w:rPr>
        <w:t>月</w:t>
      </w:r>
      <w:bookmarkEnd w:id="0"/>
    </w:p>
    <w:p w14:paraId="08648E39">
      <w:pPr>
        <w:shd w:val="clear" w:color="auto" w:fill="FFFFFF"/>
        <w:tabs>
          <w:tab w:val="left" w:pos="540"/>
        </w:tabs>
        <w:adjustRightInd w:val="0"/>
        <w:snapToGrid w:val="0"/>
        <w:spacing w:line="420" w:lineRule="exact"/>
        <w:ind w:right="-20" w:firstLine="600"/>
        <w:jc w:val="center"/>
        <w:rPr>
          <w:rFonts w:eastAsia="黑体"/>
          <w:bCs/>
          <w:color w:val="000000"/>
          <w:sz w:val="30"/>
          <w:szCs w:val="30"/>
          <w:lang w:eastAsia="zh-CN"/>
        </w:rPr>
      </w:pPr>
    </w:p>
    <w:p w14:paraId="0D7E8835">
      <w:pPr>
        <w:shd w:val="clear" w:color="auto" w:fill="FFFFFF"/>
        <w:tabs>
          <w:tab w:val="left" w:pos="0"/>
        </w:tabs>
        <w:adjustRightInd w:val="0"/>
        <w:snapToGrid w:val="0"/>
        <w:spacing w:line="420" w:lineRule="exact"/>
        <w:ind w:right="-20" w:firstLine="0" w:firstLineChars="0"/>
        <w:rPr>
          <w:color w:val="000000"/>
          <w:w w:val="99"/>
          <w:position w:val="-1"/>
          <w:sz w:val="28"/>
          <w:szCs w:val="28"/>
          <w:lang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26" w:charSpace="0"/>
        </w:sectPr>
      </w:pPr>
    </w:p>
    <w:p w14:paraId="1E181E82">
      <w:pPr>
        <w:adjustRightInd w:val="0"/>
        <w:snapToGrid w:val="0"/>
        <w:ind w:firstLine="0" w:firstLineChars="0"/>
        <w:jc w:val="center"/>
        <w:rPr>
          <w:rFonts w:eastAsia="黑体"/>
          <w:b/>
          <w:color w:val="000000"/>
          <w:sz w:val="36"/>
          <w:szCs w:val="36"/>
          <w:lang w:eastAsia="zh-CN"/>
        </w:rPr>
      </w:pPr>
      <w:bookmarkStart w:id="1" w:name="_Toc511396440"/>
      <w:bookmarkStart w:id="2" w:name="_Toc511507465"/>
      <w:bookmarkStart w:id="3" w:name="_Toc516393368"/>
      <w:r>
        <w:rPr>
          <w:rFonts w:eastAsia="黑体"/>
          <w:b/>
          <w:color w:val="000000"/>
          <w:sz w:val="36"/>
          <w:szCs w:val="36"/>
          <w:lang w:val="zh-CN" w:eastAsia="zh-CN"/>
        </w:rPr>
        <w:t>目  录</w:t>
      </w:r>
    </w:p>
    <w:p w14:paraId="618FD83A">
      <w:pPr>
        <w:pStyle w:val="1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b/>
          <w:bCs w:val="0"/>
          <w:i w:val="0"/>
          <w:iCs w:val="0"/>
          <w:sz w:val="28"/>
          <w:szCs w:val="28"/>
        </w:rPr>
      </w:pPr>
      <w:r>
        <w:rPr>
          <w:rFonts w:hint="eastAsia" w:asciiTheme="minorEastAsia" w:hAnsiTheme="minorEastAsia" w:eastAsiaTheme="minorEastAsia" w:cstheme="minorEastAsia"/>
          <w:b w:val="0"/>
          <w:bCs w:val="0"/>
          <w:i w:val="0"/>
          <w:iCs w:val="0"/>
          <w:caps w:val="0"/>
          <w:color w:val="000000"/>
          <w:sz w:val="28"/>
          <w:szCs w:val="28"/>
        </w:rPr>
        <w:fldChar w:fldCharType="begin"/>
      </w:r>
      <w:r>
        <w:rPr>
          <w:rFonts w:hint="eastAsia" w:asciiTheme="minorEastAsia" w:hAnsiTheme="minorEastAsia" w:eastAsiaTheme="minorEastAsia" w:cstheme="minorEastAsia"/>
          <w:b w:val="0"/>
          <w:bCs w:val="0"/>
          <w:i w:val="0"/>
          <w:iCs w:val="0"/>
          <w:caps w:val="0"/>
          <w:color w:val="000000"/>
          <w:sz w:val="28"/>
          <w:szCs w:val="28"/>
        </w:rPr>
        <w:instrText xml:space="preserve"> TOC \o "1-3" \h \z \u </w:instrText>
      </w:r>
      <w:r>
        <w:rPr>
          <w:rFonts w:hint="eastAsia" w:asciiTheme="minorEastAsia" w:hAnsiTheme="minorEastAsia" w:eastAsiaTheme="minorEastAsia" w:cstheme="minorEastAsia"/>
          <w:b w:val="0"/>
          <w:bCs w:val="0"/>
          <w:i w:val="0"/>
          <w:iCs w:val="0"/>
          <w:caps w:val="0"/>
          <w:color w:val="000000"/>
          <w:sz w:val="28"/>
          <w:szCs w:val="28"/>
        </w:rPr>
        <w:fldChar w:fldCharType="separate"/>
      </w:r>
      <w:r>
        <w:rPr>
          <w:rFonts w:hint="default" w:ascii="Times New Roman" w:hAnsi="Times New Roman" w:cs="Times New Roman" w:eastAsiaTheme="minorEastAsia"/>
          <w:b/>
          <w:bCs w:val="0"/>
          <w:i w:val="0"/>
          <w:iCs w:val="0"/>
          <w:caps w:val="0"/>
          <w:color w:val="000000"/>
          <w:sz w:val="28"/>
          <w:szCs w:val="28"/>
        </w:rPr>
        <w:fldChar w:fldCharType="begin"/>
      </w:r>
      <w:r>
        <w:rPr>
          <w:rFonts w:hint="default" w:ascii="Times New Roman" w:hAnsi="Times New Roman" w:cs="Times New Roman" w:eastAsiaTheme="minorEastAsia"/>
          <w:b/>
          <w:bCs w:val="0"/>
          <w:i w:val="0"/>
          <w:iCs w:val="0"/>
          <w:caps w:val="0"/>
          <w:sz w:val="28"/>
          <w:szCs w:val="28"/>
        </w:rPr>
        <w:instrText xml:space="preserve"> HYPERLINK \l _Toc23119 </w:instrText>
      </w:r>
      <w:r>
        <w:rPr>
          <w:rFonts w:hint="default" w:ascii="Times New Roman" w:hAnsi="Times New Roman" w:cs="Times New Roman" w:eastAsiaTheme="minorEastAsia"/>
          <w:b/>
          <w:bCs w:val="0"/>
          <w:i w:val="0"/>
          <w:iCs w:val="0"/>
          <w:caps w:val="0"/>
          <w:sz w:val="28"/>
          <w:szCs w:val="28"/>
        </w:rPr>
        <w:fldChar w:fldCharType="separate"/>
      </w:r>
      <w:r>
        <w:rPr>
          <w:rFonts w:hint="default" w:ascii="Times New Roman" w:hAnsi="Times New Roman" w:cs="Times New Roman" w:eastAsiaTheme="minorEastAsia"/>
          <w:b/>
          <w:bCs w:val="0"/>
          <w:i w:val="0"/>
          <w:iCs w:val="0"/>
          <w:sz w:val="28"/>
          <w:szCs w:val="28"/>
          <w:lang w:val="en-US" w:eastAsia="zh-CN" w:bidi="ar-SA"/>
        </w:rPr>
        <w:t>一、</w:t>
      </w:r>
      <w:r>
        <w:rPr>
          <w:rFonts w:hint="default" w:ascii="Times New Roman" w:hAnsi="Times New Roman" w:cs="Times New Roman" w:eastAsiaTheme="minorEastAsia"/>
          <w:b/>
          <w:bCs w:val="0"/>
          <w:i w:val="0"/>
          <w:iCs w:val="0"/>
          <w:sz w:val="28"/>
          <w:szCs w:val="28"/>
          <w:lang w:eastAsia="zh-CN"/>
        </w:rPr>
        <w:t>出台背景</w:t>
      </w:r>
      <w:r>
        <w:rPr>
          <w:rFonts w:hint="default" w:ascii="Times New Roman" w:hAnsi="Times New Roman" w:cs="Times New Roman" w:eastAsiaTheme="minorEastAsia"/>
          <w:b/>
          <w:bCs w:val="0"/>
          <w:i w:val="0"/>
          <w:iCs w:val="0"/>
          <w:sz w:val="28"/>
          <w:szCs w:val="28"/>
        </w:rPr>
        <w:tab/>
      </w:r>
      <w:r>
        <w:rPr>
          <w:rFonts w:hint="default" w:ascii="Times New Roman" w:hAnsi="Times New Roman" w:cs="Times New Roman" w:eastAsiaTheme="minorEastAsia"/>
          <w:b/>
          <w:bCs w:val="0"/>
          <w:i w:val="0"/>
          <w:iCs w:val="0"/>
          <w:sz w:val="28"/>
          <w:szCs w:val="28"/>
        </w:rPr>
        <w:fldChar w:fldCharType="begin"/>
      </w:r>
      <w:r>
        <w:rPr>
          <w:rFonts w:hint="default" w:ascii="Times New Roman" w:hAnsi="Times New Roman" w:cs="Times New Roman" w:eastAsiaTheme="minorEastAsia"/>
          <w:b/>
          <w:bCs w:val="0"/>
          <w:i w:val="0"/>
          <w:iCs w:val="0"/>
          <w:sz w:val="28"/>
          <w:szCs w:val="28"/>
        </w:rPr>
        <w:instrText xml:space="preserve"> PAGEREF _Toc23119 \h </w:instrText>
      </w:r>
      <w:r>
        <w:rPr>
          <w:rFonts w:hint="default" w:ascii="Times New Roman" w:hAnsi="Times New Roman" w:cs="Times New Roman" w:eastAsiaTheme="minorEastAsia"/>
          <w:b/>
          <w:bCs w:val="0"/>
          <w:i w:val="0"/>
          <w:iCs w:val="0"/>
          <w:sz w:val="28"/>
          <w:szCs w:val="28"/>
        </w:rPr>
        <w:fldChar w:fldCharType="separate"/>
      </w:r>
      <w:r>
        <w:rPr>
          <w:rFonts w:hint="default" w:ascii="Times New Roman" w:hAnsi="Times New Roman" w:cs="Times New Roman" w:eastAsiaTheme="minorEastAsia"/>
          <w:b/>
          <w:bCs w:val="0"/>
          <w:i w:val="0"/>
          <w:iCs w:val="0"/>
          <w:sz w:val="28"/>
          <w:szCs w:val="28"/>
        </w:rPr>
        <w:t>1</w:t>
      </w:r>
      <w:r>
        <w:rPr>
          <w:rFonts w:hint="default" w:ascii="Times New Roman" w:hAnsi="Times New Roman" w:cs="Times New Roman" w:eastAsiaTheme="minorEastAsia"/>
          <w:b/>
          <w:bCs w:val="0"/>
          <w:i w:val="0"/>
          <w:iCs w:val="0"/>
          <w:sz w:val="28"/>
          <w:szCs w:val="28"/>
        </w:rPr>
        <w:fldChar w:fldCharType="end"/>
      </w:r>
      <w:r>
        <w:rPr>
          <w:rFonts w:hint="default" w:ascii="Times New Roman" w:hAnsi="Times New Roman" w:cs="Times New Roman" w:eastAsiaTheme="minorEastAsia"/>
          <w:b/>
          <w:bCs w:val="0"/>
          <w:i w:val="0"/>
          <w:iCs w:val="0"/>
          <w:caps w:val="0"/>
          <w:color w:val="000000"/>
          <w:sz w:val="28"/>
          <w:szCs w:val="28"/>
        </w:rPr>
        <w:fldChar w:fldCharType="end"/>
      </w:r>
    </w:p>
    <w:p w14:paraId="351CE044">
      <w:pPr>
        <w:pStyle w:val="1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_Toc21922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二、</w:t>
      </w:r>
      <w:r>
        <w:rPr>
          <w:rFonts w:hint="default" w:ascii="Times New Roman" w:hAnsi="Times New Roman" w:cs="Times New Roman" w:eastAsiaTheme="minorEastAsia"/>
          <w:i w:val="0"/>
          <w:iCs w:val="0"/>
          <w:sz w:val="28"/>
          <w:szCs w:val="28"/>
          <w:lang w:eastAsia="zh-CN"/>
        </w:rPr>
        <w:t>必要性分析</w:t>
      </w:r>
      <w:r>
        <w:rPr>
          <w:rFonts w:hint="default" w:ascii="Times New Roman" w:hAnsi="Times New Roman" w:cs="Times New Roman" w:eastAsiaTheme="minorEastAsia"/>
          <w:i w:val="0"/>
          <w:iCs w:val="0"/>
          <w:sz w:val="28"/>
          <w:szCs w:val="28"/>
          <w:lang w:val="en-US" w:eastAsia="zh-CN"/>
        </w:rPr>
        <w:t>和可行性分析</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_Toc21922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24F51D81">
      <w:pPr>
        <w:pStyle w:val="2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_Toc18952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1.1</w:t>
      </w:r>
      <w:r>
        <w:rPr>
          <w:rFonts w:hint="default" w:ascii="Times New Roman" w:hAnsi="Times New Roman" w:cs="Times New Roman" w:eastAsiaTheme="minorEastAsia"/>
          <w:i w:val="0"/>
          <w:iCs w:val="0"/>
          <w:sz w:val="28"/>
          <w:szCs w:val="28"/>
          <w:lang w:val="en-US" w:eastAsia="zh-CN"/>
        </w:rPr>
        <w:t>必要性</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_Toc18952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2</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46716359">
      <w:pPr>
        <w:pStyle w:val="2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_Toc32164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1.2</w:t>
      </w:r>
      <w:r>
        <w:rPr>
          <w:rFonts w:hint="default" w:ascii="Times New Roman" w:hAnsi="Times New Roman" w:cs="Times New Roman" w:eastAsiaTheme="minorEastAsia"/>
          <w:i w:val="0"/>
          <w:iCs w:val="0"/>
          <w:sz w:val="28"/>
          <w:szCs w:val="28"/>
          <w:lang w:val="en-US" w:eastAsia="zh-CN"/>
        </w:rPr>
        <w:t>可行性</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_Toc32164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3</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14F04EB2">
      <w:pPr>
        <w:pStyle w:val="1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_Toc9363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三、</w:t>
      </w:r>
      <w:r>
        <w:rPr>
          <w:rFonts w:hint="default" w:ascii="Times New Roman" w:hAnsi="Times New Roman" w:cs="Times New Roman" w:eastAsiaTheme="minorEastAsia"/>
          <w:i w:val="0"/>
          <w:iCs w:val="0"/>
          <w:sz w:val="28"/>
          <w:szCs w:val="28"/>
          <w:lang w:eastAsia="zh-CN"/>
        </w:rPr>
        <w:t>标准框架的确定</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_Toc9363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3</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55CFC3F5">
      <w:pPr>
        <w:pStyle w:val="2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_Toc19953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3.1</w:t>
      </w:r>
      <w:r>
        <w:rPr>
          <w:rFonts w:hint="default" w:ascii="Times New Roman" w:hAnsi="Times New Roman" w:cs="Times New Roman" w:eastAsiaTheme="minorEastAsia"/>
          <w:i w:val="0"/>
          <w:iCs w:val="0"/>
          <w:sz w:val="28"/>
          <w:szCs w:val="28"/>
        </w:rPr>
        <w:t>总体思路</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_Toc19953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4</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0F85BFFC">
      <w:pPr>
        <w:pStyle w:val="2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_Toc3336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rPr>
        <w:t>3.2</w:t>
      </w:r>
      <w:r>
        <w:rPr>
          <w:rFonts w:hint="default" w:ascii="Times New Roman" w:hAnsi="Times New Roman" w:cs="Times New Roman" w:eastAsiaTheme="minorEastAsia"/>
          <w:i w:val="0"/>
          <w:iCs w:val="0"/>
          <w:sz w:val="28"/>
          <w:szCs w:val="28"/>
        </w:rPr>
        <w:t>编制依据</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_Toc3336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4</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394432DC">
      <w:pPr>
        <w:pStyle w:val="2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_Toc7452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rPr>
        <w:t>3.3</w:t>
      </w:r>
      <w:r>
        <w:rPr>
          <w:rFonts w:hint="default" w:ascii="Times New Roman" w:hAnsi="Times New Roman" w:cs="Times New Roman" w:eastAsiaTheme="minorEastAsia"/>
          <w:i w:val="0"/>
          <w:iCs w:val="0"/>
          <w:sz w:val="28"/>
          <w:szCs w:val="28"/>
        </w:rPr>
        <w:t>编制原则</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_Toc7452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5</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7E9441ED">
      <w:pPr>
        <w:pStyle w:val="1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_Toc18443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四、</w:t>
      </w:r>
      <w:r>
        <w:rPr>
          <w:rFonts w:hint="default" w:ascii="Times New Roman" w:hAnsi="Times New Roman" w:cs="Times New Roman" w:eastAsiaTheme="minorEastAsia"/>
          <w:i w:val="0"/>
          <w:iCs w:val="0"/>
          <w:sz w:val="28"/>
          <w:szCs w:val="28"/>
          <w:lang w:eastAsia="zh-CN"/>
        </w:rPr>
        <w:t>标准编制过程</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_Toc18443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5</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448BB3DA">
      <w:pPr>
        <w:pStyle w:val="1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_Toc11308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五、</w:t>
      </w:r>
      <w:r>
        <w:rPr>
          <w:rFonts w:hint="default" w:ascii="Times New Roman" w:hAnsi="Times New Roman" w:cs="Times New Roman" w:eastAsiaTheme="minorEastAsia"/>
          <w:i w:val="0"/>
          <w:iCs w:val="0"/>
          <w:sz w:val="28"/>
          <w:szCs w:val="28"/>
          <w:lang w:eastAsia="zh-CN"/>
        </w:rPr>
        <w:t>主要技术内容</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_Toc11308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6</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727B9352">
      <w:pPr>
        <w:pStyle w:val="2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_Toc11693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rPr>
        <w:t>5.1</w:t>
      </w:r>
      <w:r>
        <w:rPr>
          <w:rFonts w:hint="default" w:ascii="Times New Roman" w:hAnsi="Times New Roman" w:cs="Times New Roman" w:eastAsiaTheme="minorEastAsia"/>
          <w:i w:val="0"/>
          <w:iCs w:val="0"/>
          <w:sz w:val="28"/>
          <w:szCs w:val="28"/>
        </w:rPr>
        <w:t>标准框架结构</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_Toc11693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6</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605E9A16">
      <w:pPr>
        <w:pStyle w:val="2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_Toc18804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5.2</w:t>
      </w:r>
      <w:r>
        <w:rPr>
          <w:rFonts w:hint="default" w:ascii="Times New Roman" w:hAnsi="Times New Roman" w:cs="Times New Roman" w:eastAsiaTheme="minorEastAsia"/>
          <w:i w:val="0"/>
          <w:iCs w:val="0"/>
          <w:sz w:val="28"/>
          <w:szCs w:val="28"/>
        </w:rPr>
        <w:t>条文说明</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_Toc18804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7</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552BCAD5">
      <w:pPr>
        <w:pStyle w:val="1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_Toc22381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5.2.1</w:t>
      </w:r>
      <w:r>
        <w:rPr>
          <w:rFonts w:hint="default" w:ascii="Times New Roman" w:hAnsi="Times New Roman" w:cs="Times New Roman" w:eastAsiaTheme="minorEastAsia"/>
          <w:i w:val="0"/>
          <w:iCs w:val="0"/>
          <w:sz w:val="28"/>
          <w:szCs w:val="28"/>
        </w:rPr>
        <w:t>范围</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_Toc22381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7</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36BF68F3">
      <w:pPr>
        <w:pStyle w:val="1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_Toc771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5.2.2</w:t>
      </w:r>
      <w:r>
        <w:rPr>
          <w:rFonts w:hint="default" w:ascii="Times New Roman" w:hAnsi="Times New Roman" w:cs="Times New Roman" w:eastAsiaTheme="minorEastAsia"/>
          <w:i w:val="0"/>
          <w:iCs w:val="0"/>
          <w:sz w:val="28"/>
          <w:szCs w:val="28"/>
        </w:rPr>
        <w:t>规范性引用文件</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_Toc771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8</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0AD2FF46">
      <w:pPr>
        <w:pStyle w:val="1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_Toc21359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5.2.3</w:t>
      </w:r>
      <w:r>
        <w:rPr>
          <w:rFonts w:hint="default" w:ascii="Times New Roman" w:hAnsi="Times New Roman" w:cs="Times New Roman" w:eastAsiaTheme="minorEastAsia"/>
          <w:i w:val="0"/>
          <w:iCs w:val="0"/>
          <w:sz w:val="28"/>
          <w:szCs w:val="28"/>
        </w:rPr>
        <w:t>术语与定义</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_Toc21359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8</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62205BCB">
      <w:pPr>
        <w:pStyle w:val="1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_Toc11670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5.2.4</w:t>
      </w:r>
      <w:r>
        <w:rPr>
          <w:rFonts w:hint="default" w:ascii="Times New Roman" w:hAnsi="Times New Roman" w:cs="Times New Roman" w:eastAsiaTheme="minorEastAsia"/>
          <w:i w:val="0"/>
          <w:iCs w:val="0"/>
          <w:sz w:val="28"/>
          <w:szCs w:val="28"/>
        </w:rPr>
        <w:t>一般要求</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_Toc11670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9</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5366CA68">
      <w:pPr>
        <w:pStyle w:val="1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_Toc11793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5.2.5</w:t>
      </w:r>
      <w:r>
        <w:rPr>
          <w:rFonts w:hint="default" w:ascii="Times New Roman" w:hAnsi="Times New Roman" w:cs="Times New Roman" w:eastAsiaTheme="minorEastAsia"/>
          <w:i w:val="0"/>
          <w:iCs w:val="0"/>
          <w:sz w:val="28"/>
          <w:szCs w:val="28"/>
          <w:lang w:val="en-US" w:eastAsia="zh-CN"/>
        </w:rPr>
        <w:t>工作流程</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_Toc11793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11</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2D882F19">
      <w:pPr>
        <w:pStyle w:val="1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_Toc27709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5.2.6</w:t>
      </w:r>
      <w:r>
        <w:rPr>
          <w:rFonts w:hint="default" w:ascii="Times New Roman" w:hAnsi="Times New Roman" w:cs="Times New Roman" w:eastAsiaTheme="minorEastAsia"/>
          <w:i w:val="0"/>
          <w:iCs w:val="0"/>
          <w:sz w:val="28"/>
          <w:szCs w:val="28"/>
        </w:rPr>
        <w:t>生态湿地</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_Toc27709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11</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401EB130">
      <w:pPr>
        <w:pStyle w:val="1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_Toc28044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5.2.7</w:t>
      </w:r>
      <w:r>
        <w:rPr>
          <w:rFonts w:hint="default" w:ascii="Times New Roman" w:hAnsi="Times New Roman" w:cs="Times New Roman" w:eastAsiaTheme="minorEastAsia"/>
          <w:i w:val="0"/>
          <w:iCs w:val="0"/>
          <w:sz w:val="28"/>
          <w:szCs w:val="28"/>
        </w:rPr>
        <w:t>人工浮岛</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_Toc28044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13</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0C4A39C0">
      <w:pPr>
        <w:pStyle w:val="1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_Toc1557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5.2.8</w:t>
      </w:r>
      <w:r>
        <w:rPr>
          <w:rFonts w:hint="default" w:ascii="Times New Roman" w:hAnsi="Times New Roman" w:cs="Times New Roman" w:eastAsiaTheme="minorEastAsia"/>
          <w:i w:val="0"/>
          <w:iCs w:val="0"/>
          <w:sz w:val="28"/>
          <w:szCs w:val="28"/>
        </w:rPr>
        <w:t>生物操纵</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_Toc1557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14</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0C6E082F">
      <w:pPr>
        <w:pStyle w:val="1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_Toc14152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5.2.9</w:t>
      </w:r>
      <w:r>
        <w:rPr>
          <w:rFonts w:hint="default" w:ascii="Times New Roman" w:hAnsi="Times New Roman" w:cs="Times New Roman" w:eastAsiaTheme="minorEastAsia"/>
          <w:i w:val="0"/>
          <w:iCs w:val="0"/>
          <w:sz w:val="28"/>
          <w:szCs w:val="28"/>
        </w:rPr>
        <w:t>微生物吸附</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_Toc14152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15</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6A4473CC">
      <w:pPr>
        <w:pStyle w:val="1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_Toc696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5.2.10</w:t>
      </w:r>
      <w:r>
        <w:rPr>
          <w:rFonts w:hint="default" w:ascii="Times New Roman" w:hAnsi="Times New Roman" w:cs="Times New Roman" w:eastAsiaTheme="minorEastAsia"/>
          <w:i w:val="0"/>
          <w:iCs w:val="0"/>
          <w:sz w:val="28"/>
          <w:szCs w:val="28"/>
        </w:rPr>
        <w:t>技术比选</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_Toc696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16</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0FF96737">
      <w:pPr>
        <w:pStyle w:val="1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_Toc21758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5.2.11</w:t>
      </w:r>
      <w:r>
        <w:rPr>
          <w:rFonts w:hint="default" w:ascii="Times New Roman" w:hAnsi="Times New Roman" w:cs="Times New Roman" w:eastAsiaTheme="minorEastAsia"/>
          <w:i w:val="0"/>
          <w:iCs w:val="0"/>
          <w:sz w:val="28"/>
          <w:szCs w:val="28"/>
        </w:rPr>
        <w:t>附录</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_Toc21758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16</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5748330E">
      <w:pPr>
        <w:pStyle w:val="1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_Toc2905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rPr>
        <w:t>六、</w:t>
      </w:r>
      <w:r>
        <w:rPr>
          <w:rFonts w:hint="default" w:ascii="Times New Roman" w:hAnsi="Times New Roman" w:cs="Times New Roman" w:eastAsiaTheme="minorEastAsia"/>
          <w:i w:val="0"/>
          <w:iCs w:val="0"/>
          <w:sz w:val="28"/>
          <w:szCs w:val="28"/>
          <w:lang w:eastAsia="zh-CN"/>
        </w:rPr>
        <w:t>国内外标准情况、与国际标准一致性程度情况</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_Toc2905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17</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776DA3CF">
      <w:pPr>
        <w:pStyle w:val="1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_Toc16367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七、与相关强制性标准、法律法规配套情况</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_Toc16367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18</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57B9AF3C">
      <w:pPr>
        <w:pStyle w:val="1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sz w:val="28"/>
          <w:szCs w:val="28"/>
        </w:rPr>
      </w:pPr>
      <w:r>
        <w:rPr>
          <w:rFonts w:hint="default" w:ascii="Times New Roman" w:hAnsi="Times New Roman" w:cs="Times New Roman" w:eastAsiaTheme="minorEastAsia"/>
          <w:i w:val="0"/>
          <w:iCs w:val="0"/>
          <w:color w:val="000000"/>
          <w:sz w:val="28"/>
          <w:szCs w:val="28"/>
        </w:rPr>
        <w:fldChar w:fldCharType="begin"/>
      </w:r>
      <w:r>
        <w:rPr>
          <w:rFonts w:hint="default" w:ascii="Times New Roman" w:hAnsi="Times New Roman" w:cs="Times New Roman" w:eastAsiaTheme="minorEastAsia"/>
          <w:i w:val="0"/>
          <w:iCs w:val="0"/>
          <w:sz w:val="28"/>
          <w:szCs w:val="28"/>
        </w:rPr>
        <w:instrText xml:space="preserve"> HYPERLINK \l _Toc15787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lang w:val="en-US" w:eastAsia="zh-CN" w:bidi="ar-SA"/>
        </w:rPr>
        <w:t>八、</w:t>
      </w:r>
      <w:r>
        <w:rPr>
          <w:rFonts w:hint="default" w:ascii="Times New Roman" w:hAnsi="Times New Roman" w:cs="Times New Roman" w:eastAsiaTheme="minorEastAsia"/>
          <w:i w:val="0"/>
          <w:iCs w:val="0"/>
          <w:sz w:val="28"/>
          <w:szCs w:val="28"/>
          <w:lang w:eastAsia="zh-CN"/>
        </w:rPr>
        <w:t>实施本文件的建议</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_Toc15787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19</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28"/>
        </w:rPr>
        <w:fldChar w:fldCharType="end"/>
      </w:r>
    </w:p>
    <w:p w14:paraId="062385F1">
      <w:pPr>
        <w:pStyle w:val="19"/>
        <w:keepNext w:val="0"/>
        <w:keepLines w:val="0"/>
        <w:pageBreakBefore w:val="0"/>
        <w:widowControl w:val="0"/>
        <w:tabs>
          <w:tab w:val="left" w:pos="880"/>
          <w:tab w:val="right" w:leader="dot" w:pos="8296"/>
        </w:tabs>
        <w:kinsoku/>
        <w:wordWrap/>
        <w:overflowPunct/>
        <w:topLinePunct w:val="0"/>
        <w:autoSpaceDE/>
        <w:autoSpaceDN/>
        <w:bidi w:val="0"/>
        <w:adjustRightInd/>
        <w:snapToGrid w:val="0"/>
        <w:spacing w:line="440" w:lineRule="exact"/>
        <w:ind w:firstLine="562"/>
        <w:textAlignment w:val="auto"/>
        <w:rPr>
          <w:rFonts w:ascii="Times New Roman" w:hAnsi="Times New Roman" w:cs="Times New Roman"/>
          <w:color w:val="000000"/>
          <w:sz w:val="22"/>
        </w:rPr>
      </w:pPr>
      <w:r>
        <w:rPr>
          <w:rFonts w:hint="eastAsia" w:asciiTheme="minorEastAsia" w:hAnsiTheme="minorEastAsia" w:eastAsiaTheme="minorEastAsia" w:cstheme="minorEastAsia"/>
          <w:i w:val="0"/>
          <w:iCs w:val="0"/>
          <w:color w:val="000000"/>
          <w:sz w:val="28"/>
          <w:szCs w:val="28"/>
        </w:rPr>
        <w:fldChar w:fldCharType="end"/>
      </w:r>
    </w:p>
    <w:p w14:paraId="21996BFD">
      <w:pPr>
        <w:adjustRightInd w:val="0"/>
        <w:snapToGrid w:val="0"/>
        <w:spacing w:line="360" w:lineRule="auto"/>
        <w:ind w:firstLine="560"/>
        <w:rPr>
          <w:color w:val="000000"/>
          <w:sz w:val="28"/>
          <w:szCs w:val="24"/>
          <w:lang w:eastAsia="zh-CN"/>
        </w:rPr>
        <w:sectPr>
          <w:footerReference r:id="rId12" w:type="first"/>
          <w:footerReference r:id="rId11" w:type="default"/>
          <w:pgSz w:w="11906" w:h="16838"/>
          <w:pgMar w:top="1440" w:right="1800" w:bottom="1440" w:left="1800" w:header="851" w:footer="992" w:gutter="0"/>
          <w:pgNumType w:fmt="upperRoman" w:start="1"/>
          <w:cols w:space="720" w:num="1"/>
          <w:titlePg/>
          <w:docGrid w:type="lines" w:linePitch="326" w:charSpace="0"/>
        </w:sectPr>
      </w:pPr>
    </w:p>
    <w:p w14:paraId="6BCC318B">
      <w:pPr>
        <w:pStyle w:val="2"/>
        <w:numPr>
          <w:ilvl w:val="0"/>
          <w:numId w:val="0"/>
        </w:numPr>
        <w:bidi w:val="0"/>
        <w:ind w:left="0" w:leftChars="0" w:firstLine="0" w:firstLineChars="0"/>
        <w:rPr>
          <w:lang w:eastAsia="zh-CN"/>
        </w:rPr>
      </w:pPr>
      <w:bookmarkStart w:id="4" w:name="_Toc23119"/>
      <w:r>
        <w:rPr>
          <w:rFonts w:hint="eastAsia" w:ascii="Times New Roman" w:hAnsi="Times New Roman" w:eastAsia="黑体" w:cs="Times New Roman"/>
          <w:sz w:val="32"/>
          <w:szCs w:val="28"/>
          <w:lang w:val="en-US" w:eastAsia="zh-CN" w:bidi="ar-SA"/>
        </w:rPr>
        <w:t>一、</w:t>
      </w:r>
      <w:r>
        <w:rPr>
          <w:rFonts w:hint="eastAsia"/>
          <w:lang w:eastAsia="zh-CN"/>
        </w:rPr>
        <w:t>出台</w:t>
      </w:r>
      <w:r>
        <w:rPr>
          <w:lang w:eastAsia="zh-CN"/>
        </w:rPr>
        <w:t>背景</w:t>
      </w:r>
      <w:bookmarkEnd w:id="1"/>
      <w:bookmarkEnd w:id="2"/>
      <w:bookmarkEnd w:id="3"/>
      <w:bookmarkEnd w:id="4"/>
    </w:p>
    <w:p w14:paraId="43B91561">
      <w:pPr>
        <w:adjustRightInd w:val="0"/>
        <w:snapToGrid w:val="0"/>
        <w:spacing w:line="360" w:lineRule="auto"/>
        <w:ind w:firstLine="560"/>
        <w:rPr>
          <w:color w:val="000000"/>
          <w:sz w:val="28"/>
          <w:szCs w:val="28"/>
          <w:lang w:eastAsia="zh-CN"/>
        </w:rPr>
      </w:pPr>
      <w:r>
        <w:rPr>
          <w:rFonts w:hint="eastAsia"/>
          <w:color w:val="000000"/>
          <w:sz w:val="28"/>
          <w:szCs w:val="28"/>
          <w:lang w:eastAsia="zh-CN"/>
        </w:rPr>
        <w:t>近年来，随着人为社会经济活动影响，生态环境受到明显损害，湖库营养过程加剧，水生态系统健康受到很大冲击。水生态修复是湖库水质改善，生态功能恢复的重要途径之一，水生生物修复技术在湖库生态修复中被广泛应用。</w:t>
      </w:r>
    </w:p>
    <w:p w14:paraId="52C25402">
      <w:pPr>
        <w:adjustRightInd w:val="0"/>
        <w:snapToGrid w:val="0"/>
        <w:spacing w:line="360" w:lineRule="auto"/>
        <w:ind w:firstLine="560"/>
        <w:rPr>
          <w:color w:val="000000"/>
          <w:sz w:val="28"/>
          <w:szCs w:val="28"/>
          <w:lang w:eastAsia="zh-CN"/>
        </w:rPr>
      </w:pPr>
      <w:r>
        <w:rPr>
          <w:rFonts w:hint="eastAsia"/>
          <w:color w:val="000000"/>
          <w:sz w:val="28"/>
          <w:szCs w:val="28"/>
          <w:lang w:eastAsia="zh-CN"/>
        </w:rPr>
        <w:t>2015年，国务院印发的《水污染防治行动计划》（国发〔2015〕17号）明确提出“加快技术成果推广应用，重点推广水生态修复等适用技术的应用”。《江西省水污染防治工作方案》（赣府发〔2015〕62号）提出“开展全省水污染防治相关技术政策、技术指南的制修订”。</w:t>
      </w:r>
    </w:p>
    <w:p w14:paraId="5C5F7DD1">
      <w:pPr>
        <w:adjustRightInd w:val="0"/>
        <w:snapToGrid w:val="0"/>
        <w:spacing w:line="360" w:lineRule="auto"/>
        <w:ind w:firstLine="560"/>
        <w:rPr>
          <w:color w:val="000000"/>
          <w:sz w:val="28"/>
          <w:szCs w:val="28"/>
          <w:lang w:eastAsia="zh-CN"/>
        </w:rPr>
      </w:pPr>
      <w:r>
        <w:rPr>
          <w:rFonts w:hint="eastAsia"/>
          <w:color w:val="000000"/>
          <w:sz w:val="28"/>
          <w:szCs w:val="28"/>
          <w:lang w:eastAsia="zh-CN"/>
        </w:rPr>
        <w:t>2016年，为推进国家“十三五”环境保护相关规划重大项目实施，环境保护部、财政部启动了水污染防治储备库建设，内容涵盖水质较好湖泊生态环境保护、城市集中式饮用水水源地保护、重点流域水污染防治、地下水污染防治等方面，大量生态修复类项目入库建设。</w:t>
      </w:r>
    </w:p>
    <w:p w14:paraId="3A5C7492">
      <w:pPr>
        <w:adjustRightInd w:val="0"/>
        <w:snapToGrid w:val="0"/>
        <w:spacing w:line="360" w:lineRule="auto"/>
        <w:ind w:firstLine="560"/>
        <w:rPr>
          <w:color w:val="000000"/>
          <w:sz w:val="28"/>
          <w:szCs w:val="28"/>
          <w:lang w:eastAsia="zh-CN"/>
        </w:rPr>
      </w:pPr>
      <w:r>
        <w:rPr>
          <w:rFonts w:hint="eastAsia"/>
          <w:color w:val="000000"/>
          <w:sz w:val="28"/>
          <w:szCs w:val="28"/>
          <w:lang w:eastAsia="zh-CN"/>
        </w:rPr>
        <w:t>《中华人民共和国长江保护法》明确提出“国家实行长江流域生态环境保护责任制和考核制度”。2021年5月14日生态环境部专报《关于推动建立长江流域“十四五”水生态考核机制的建议》提出“制定“十四五”长江流域水生态考核办法；明确长江流域“十四五”水生态试点量化考核指标；水生态考核在长江流域重点区域先行先试”。</w:t>
      </w:r>
    </w:p>
    <w:p w14:paraId="270EE060">
      <w:pPr>
        <w:adjustRightInd w:val="0"/>
        <w:snapToGrid w:val="0"/>
        <w:spacing w:line="360" w:lineRule="auto"/>
        <w:ind w:firstLine="560"/>
        <w:rPr>
          <w:color w:val="000000"/>
          <w:sz w:val="28"/>
          <w:szCs w:val="28"/>
          <w:lang w:eastAsia="zh-CN"/>
        </w:rPr>
      </w:pPr>
      <w:r>
        <w:rPr>
          <w:rFonts w:hint="eastAsia"/>
          <w:color w:val="000000"/>
          <w:sz w:val="28"/>
          <w:szCs w:val="28"/>
          <w:lang w:eastAsia="zh-CN"/>
        </w:rPr>
        <w:t>2021年8月31日中央深改委审议通过的《关于深入打好污染防治攻坚战的意见》明确指出“紧盯污染防治重点领域和关键环节，集中力量攻克老百姓身边的突出生态环境问题，强化多污染物协同控制和区域协同治理，统筹水资源、水环境、水生态治理”。</w:t>
      </w:r>
    </w:p>
    <w:p w14:paraId="1395AE15">
      <w:pPr>
        <w:pStyle w:val="2"/>
        <w:numPr>
          <w:ilvl w:val="0"/>
          <w:numId w:val="0"/>
        </w:numPr>
        <w:bidi w:val="0"/>
        <w:ind w:left="0" w:leftChars="0" w:firstLine="0" w:firstLineChars="0"/>
        <w:rPr>
          <w:rFonts w:hint="eastAsia" w:ascii="Times New Roman" w:hAnsi="Times New Roman" w:cs="Times New Roman"/>
          <w:lang w:eastAsia="zh-CN"/>
        </w:rPr>
      </w:pPr>
      <w:bookmarkStart w:id="5" w:name="_Toc21922"/>
      <w:bookmarkStart w:id="6" w:name="_Toc7993748"/>
      <w:r>
        <w:rPr>
          <w:rFonts w:hint="eastAsia" w:ascii="Times New Roman" w:hAnsi="Times New Roman" w:eastAsia="黑体" w:cs="Times New Roman"/>
          <w:sz w:val="32"/>
          <w:szCs w:val="28"/>
          <w:lang w:val="en-US" w:eastAsia="zh-CN" w:bidi="ar-SA"/>
        </w:rPr>
        <w:t>二、</w:t>
      </w:r>
      <w:r>
        <w:rPr>
          <w:rFonts w:hint="eastAsia" w:ascii="Times New Roman" w:hAnsi="Times New Roman" w:cs="Times New Roman"/>
          <w:lang w:eastAsia="zh-CN"/>
        </w:rPr>
        <w:t>必要性分析</w:t>
      </w:r>
      <w:r>
        <w:rPr>
          <w:rFonts w:hint="eastAsia" w:cs="Times New Roman"/>
          <w:lang w:val="en-US" w:eastAsia="zh-CN"/>
        </w:rPr>
        <w:t>和可行性分析</w:t>
      </w:r>
      <w:bookmarkEnd w:id="5"/>
    </w:p>
    <w:p w14:paraId="0DB543D4">
      <w:pPr>
        <w:pStyle w:val="3"/>
        <w:numPr>
          <w:ilvl w:val="1"/>
          <w:numId w:val="0"/>
        </w:numPr>
        <w:bidi w:val="0"/>
        <w:ind w:left="0" w:leftChars="0" w:firstLine="0" w:firstLineChars="0"/>
        <w:rPr>
          <w:rFonts w:hint="default" w:ascii="Times New Roman" w:hAnsi="Times New Roman" w:cs="Times New Roman"/>
          <w:lang w:val="en-US" w:eastAsia="zh-CN"/>
        </w:rPr>
      </w:pPr>
      <w:bookmarkStart w:id="7" w:name="_Toc18952"/>
      <w:r>
        <w:rPr>
          <w:rFonts w:hint="default" w:ascii="Times New Roman" w:hAnsi="Times New Roman" w:eastAsia="黑体" w:cs="Times New Roman"/>
          <w:sz w:val="28"/>
          <w:szCs w:val="21"/>
          <w:lang w:val="en-US" w:eastAsia="zh-CN" w:bidi="ar-SA"/>
        </w:rPr>
        <w:t>1.1</w:t>
      </w:r>
      <w:r>
        <w:rPr>
          <w:rFonts w:hint="eastAsia" w:ascii="Times New Roman" w:hAnsi="Times New Roman" w:cs="Times New Roman"/>
          <w:lang w:val="en-US" w:eastAsia="zh-CN"/>
        </w:rPr>
        <w:t>必要性</w:t>
      </w:r>
      <w:bookmarkEnd w:id="7"/>
    </w:p>
    <w:p w14:paraId="1997D84C">
      <w:pPr>
        <w:adjustRightInd w:val="0"/>
        <w:snapToGrid w:val="0"/>
        <w:spacing w:line="360" w:lineRule="auto"/>
        <w:ind w:firstLine="560"/>
        <w:rPr>
          <w:rFonts w:hint="eastAsia"/>
          <w:color w:val="000000"/>
          <w:sz w:val="28"/>
          <w:szCs w:val="28"/>
          <w:lang w:eastAsia="zh-CN"/>
        </w:rPr>
      </w:pPr>
      <w:r>
        <w:rPr>
          <w:rFonts w:hint="eastAsia"/>
          <w:color w:val="000000"/>
          <w:sz w:val="28"/>
          <w:szCs w:val="28"/>
          <w:lang w:eastAsia="zh-CN"/>
        </w:rPr>
        <w:t>我省制定《湖库水生态修复技术指南 第1部分：水生生物修复（试行）》指南出于两方面考虑。一是助力我省做好水生态考核工作的实际行动。2022年国家启动对长江流域开展水生态考核工作，并于2023年6月由国务院四部委联合印发了《长江流域水生态考核指标评分细则（试行）》，其中我省涉及的考核水体为长江江西段、鄱阳湖和赣江干流。2022年和2023年，国家连续两年开展长江流域水生态考核试点工作，其中水生态系统健康一级指标中的鱼类物种数、重点保护水生生物数量、浮游动物群落结构以及水生植被覆盖度等二级指标现状值与期望值差距较大。现阶段，各地提升湖库水生态系统健康面临诸多挑战，尤其是在水生态修复方面缺乏技术支撑，</w:t>
      </w:r>
      <w:bookmarkStart w:id="88" w:name="_GoBack"/>
      <w:r>
        <w:rPr>
          <w:rFonts w:hint="eastAsia"/>
          <w:color w:val="000000"/>
          <w:sz w:val="28"/>
          <w:szCs w:val="28"/>
          <w:lang w:eastAsia="zh-CN"/>
        </w:rPr>
        <w:t>亟需</w:t>
      </w:r>
      <w:bookmarkEnd w:id="88"/>
      <w:r>
        <w:rPr>
          <w:rFonts w:hint="eastAsia"/>
          <w:color w:val="000000"/>
          <w:sz w:val="28"/>
          <w:szCs w:val="28"/>
          <w:lang w:eastAsia="zh-CN"/>
        </w:rPr>
        <w:t>编制《湖库水生态修复技术指南 第1部分：水生生物修复（试行）》指南用于指导我省重要湖库水生态系统质量提升。二是水污染防治中央储备库建设和我省生态环境保护工作的实际需求。我省各市、区、县等地方政府在实施湖库水生态修复项目时往往遇到技术选择的茫然、技术实施效果的不确定以及技术实施监管的盲区等突出问题，严重制约着中央、地方专项资金实施效果和执行效率，降低政府的执政效能。目前我省在大型湖泊如柘林湖、仙女湖、陡水湖、万安水库、洪门水库，在水库型水源地如东津水库、长冈水库、共产主义水库、玉田湖，在天然湖泊如九江八里湖、南昌前湖、青山湖、鄱阳县东湖、共青城市南湖、鄱阳湖区等迫切需要开展相关生态修复试点和工程。近年来随着我省环保工作推进，全省水环境质量明显好转，但水质指标的改善并不意味着水生态系统的健康，尤其是我省本地特有水生生物多样性的保护和恢复亟待开展。因此，亟需制定适用于本地区特色的</w:t>
      </w:r>
      <w:r>
        <w:rPr>
          <w:rFonts w:hint="eastAsia"/>
          <w:color w:val="000000"/>
          <w:sz w:val="28"/>
          <w:szCs w:val="28"/>
          <w:lang w:val="en-US" w:eastAsia="zh-CN"/>
        </w:rPr>
        <w:t>水生生物</w:t>
      </w:r>
      <w:r>
        <w:rPr>
          <w:rFonts w:hint="eastAsia"/>
          <w:color w:val="000000"/>
          <w:sz w:val="28"/>
          <w:szCs w:val="28"/>
          <w:lang w:eastAsia="zh-CN"/>
        </w:rPr>
        <w:t>修复技术指南。</w:t>
      </w:r>
    </w:p>
    <w:p w14:paraId="570D3193">
      <w:pPr>
        <w:adjustRightInd w:val="0"/>
        <w:snapToGrid w:val="0"/>
        <w:spacing w:line="360" w:lineRule="auto"/>
        <w:ind w:firstLine="560"/>
        <w:rPr>
          <w:rFonts w:hint="eastAsia"/>
          <w:color w:val="000000"/>
          <w:sz w:val="28"/>
          <w:szCs w:val="28"/>
          <w:lang w:eastAsia="zh-CN"/>
        </w:rPr>
      </w:pPr>
      <w:r>
        <w:rPr>
          <w:rFonts w:hint="eastAsia"/>
          <w:color w:val="000000"/>
          <w:sz w:val="28"/>
          <w:szCs w:val="28"/>
          <w:lang w:eastAsia="zh-CN"/>
        </w:rPr>
        <w:t>目前我国水生态修复领域已初步形成涵盖基础性、技术性、工程性和管理性内容的标准体系，但在湖库水生生物修复方面仍存在显著不足。因此，亟需制定水生生物修复技术标准，以弥补现有体系不足，推动湖库水生态修复的技术规范化和科学化发展。</w:t>
      </w:r>
    </w:p>
    <w:p w14:paraId="5B5D11C4">
      <w:pPr>
        <w:pStyle w:val="3"/>
        <w:numPr>
          <w:ilvl w:val="1"/>
          <w:numId w:val="0"/>
        </w:numPr>
        <w:bidi w:val="0"/>
        <w:ind w:left="0" w:leftChars="0" w:firstLine="0" w:firstLineChars="0"/>
        <w:rPr>
          <w:rFonts w:hint="default" w:ascii="Times New Roman" w:hAnsi="Times New Roman" w:cs="Times New Roman"/>
          <w:lang w:val="en-US" w:eastAsia="zh-CN"/>
        </w:rPr>
      </w:pPr>
      <w:bookmarkStart w:id="8" w:name="_Toc32164"/>
      <w:r>
        <w:rPr>
          <w:rFonts w:hint="default" w:ascii="Times New Roman" w:hAnsi="Times New Roman" w:eastAsia="黑体" w:cs="Times New Roman"/>
          <w:sz w:val="28"/>
          <w:szCs w:val="21"/>
          <w:lang w:val="en-US" w:eastAsia="zh-CN" w:bidi="ar-SA"/>
        </w:rPr>
        <w:t>1.2</w:t>
      </w:r>
      <w:r>
        <w:rPr>
          <w:rFonts w:hint="eastAsia" w:ascii="Times New Roman" w:hAnsi="Times New Roman" w:cs="Times New Roman"/>
          <w:lang w:val="en-US" w:eastAsia="zh-CN"/>
        </w:rPr>
        <w:t>可行性</w:t>
      </w:r>
      <w:bookmarkEnd w:id="8"/>
    </w:p>
    <w:p w14:paraId="2672E48A">
      <w:pPr>
        <w:adjustRightInd w:val="0"/>
        <w:snapToGrid w:val="0"/>
        <w:spacing w:line="360" w:lineRule="auto"/>
        <w:ind w:firstLine="560"/>
        <w:rPr>
          <w:rFonts w:hint="default" w:ascii="Times New Roman" w:hAnsi="Times New Roman" w:eastAsia="宋体" w:cs="Times New Roman"/>
          <w:color w:val="000000"/>
          <w:sz w:val="28"/>
          <w:szCs w:val="28"/>
          <w:lang w:val="en-US" w:eastAsia="zh-CN"/>
        </w:rPr>
      </w:pPr>
      <w:r>
        <w:rPr>
          <w:rFonts w:hint="eastAsia" w:ascii="Times New Roman" w:hAnsi="Times New Roman" w:eastAsia="宋体" w:cs="Times New Roman"/>
          <w:color w:val="000000"/>
          <w:sz w:val="28"/>
          <w:szCs w:val="28"/>
          <w:lang w:val="en-US" w:eastAsia="zh-CN"/>
        </w:rPr>
        <w:t>（1）标准编制的经济成本低</w:t>
      </w:r>
    </w:p>
    <w:p w14:paraId="3D6A61C4">
      <w:pPr>
        <w:adjustRightInd w:val="0"/>
        <w:snapToGrid w:val="0"/>
        <w:spacing w:line="360" w:lineRule="auto"/>
        <w:ind w:firstLine="560"/>
        <w:rPr>
          <w:rFonts w:hint="eastAsia" w:ascii="Times New Roman" w:hAnsi="Times New Roman" w:eastAsia="宋体" w:cs="Times New Roman"/>
          <w:color w:val="000000"/>
          <w:sz w:val="28"/>
          <w:szCs w:val="28"/>
          <w:lang w:val="en-US" w:eastAsia="zh-CN"/>
        </w:rPr>
      </w:pPr>
      <w:r>
        <w:rPr>
          <w:rFonts w:hint="eastAsia" w:ascii="Times New Roman" w:hAnsi="Times New Roman" w:eastAsia="宋体" w:cs="Times New Roman"/>
          <w:color w:val="000000"/>
          <w:sz w:val="28"/>
          <w:szCs w:val="28"/>
          <w:lang w:val="en-US" w:eastAsia="zh-CN"/>
        </w:rPr>
        <w:t>本标准中推荐的水生生物修复技术在国内外较为成熟，无需开展相关技术研发，整个指南编制过程中经济成本投入较少，在人力、时间保障充足下能很好完成本标准编制工作。</w:t>
      </w:r>
    </w:p>
    <w:p w14:paraId="6995BA16">
      <w:pPr>
        <w:adjustRightInd w:val="0"/>
        <w:snapToGrid w:val="0"/>
        <w:spacing w:line="360" w:lineRule="auto"/>
        <w:ind w:firstLine="560"/>
        <w:rPr>
          <w:rFonts w:hint="default" w:ascii="Times New Roman" w:hAnsi="Times New Roman" w:eastAsia="宋体" w:cs="Times New Roman"/>
          <w:color w:val="000000"/>
          <w:sz w:val="28"/>
          <w:szCs w:val="28"/>
          <w:lang w:val="en-US" w:eastAsia="zh-CN"/>
        </w:rPr>
      </w:pPr>
      <w:r>
        <w:rPr>
          <w:rFonts w:hint="eastAsia" w:ascii="Times New Roman" w:hAnsi="Times New Roman" w:eastAsia="宋体" w:cs="Times New Roman"/>
          <w:color w:val="000000"/>
          <w:sz w:val="28"/>
          <w:szCs w:val="28"/>
          <w:lang w:val="en-US" w:eastAsia="zh-CN"/>
        </w:rPr>
        <w:t>（2）标准编制的技术团队强</w:t>
      </w:r>
    </w:p>
    <w:p w14:paraId="751A27B5">
      <w:pPr>
        <w:adjustRightInd w:val="0"/>
        <w:snapToGrid w:val="0"/>
        <w:spacing w:line="360" w:lineRule="auto"/>
        <w:ind w:firstLine="560"/>
        <w:rPr>
          <w:rFonts w:hint="default" w:ascii="Times New Roman" w:hAnsi="Times New Roman" w:eastAsia="宋体" w:cs="Times New Roman"/>
          <w:color w:val="000000"/>
          <w:sz w:val="28"/>
          <w:szCs w:val="28"/>
          <w:lang w:val="en-US" w:eastAsia="zh-CN"/>
        </w:rPr>
      </w:pPr>
      <w:r>
        <w:rPr>
          <w:rFonts w:hint="eastAsia" w:ascii="Times New Roman" w:hAnsi="Times New Roman" w:eastAsia="宋体" w:cs="Times New Roman"/>
          <w:color w:val="000000"/>
          <w:sz w:val="28"/>
          <w:szCs w:val="28"/>
          <w:lang w:val="en-US" w:eastAsia="zh-CN"/>
        </w:rPr>
        <w:t>本标准编制工作联合了省内外水生生物修复方面的优势团队科研力量，其中起草单位是江西省生态环境科学研究与规划院、中国科学院水生生物研究所和中国环境科学研究院，标准编制团队既包括国家权威科研院所，又有地方科研机构，多方科研力量优势互补，为本标准的编制完成提供坚实的技术团队保障。</w:t>
      </w:r>
    </w:p>
    <w:p w14:paraId="2A4D113C">
      <w:pPr>
        <w:adjustRightInd w:val="0"/>
        <w:snapToGrid w:val="0"/>
        <w:spacing w:line="360" w:lineRule="auto"/>
        <w:ind w:firstLine="560"/>
        <w:rPr>
          <w:rFonts w:hint="default" w:ascii="Times New Roman" w:hAnsi="Times New Roman" w:eastAsia="宋体" w:cs="Times New Roman"/>
          <w:color w:val="000000"/>
          <w:sz w:val="28"/>
          <w:szCs w:val="28"/>
          <w:lang w:val="en-US" w:eastAsia="zh-CN"/>
        </w:rPr>
      </w:pPr>
      <w:r>
        <w:rPr>
          <w:rFonts w:hint="eastAsia" w:ascii="Times New Roman" w:hAnsi="Times New Roman" w:eastAsia="宋体" w:cs="Times New Roman"/>
          <w:color w:val="000000"/>
          <w:sz w:val="28"/>
          <w:szCs w:val="28"/>
          <w:lang w:val="en-US" w:eastAsia="zh-CN"/>
        </w:rPr>
        <w:t>（3）标准编制的研究基础扎实</w:t>
      </w:r>
    </w:p>
    <w:p w14:paraId="510B0A72">
      <w:pPr>
        <w:adjustRightInd w:val="0"/>
        <w:snapToGrid w:val="0"/>
        <w:spacing w:line="360" w:lineRule="auto"/>
        <w:ind w:firstLine="560"/>
        <w:rPr>
          <w:rFonts w:hint="eastAsia" w:ascii="Times New Roman" w:hAnsi="Times New Roman" w:eastAsia="宋体" w:cs="Times New Roman"/>
          <w:color w:val="000000"/>
          <w:sz w:val="28"/>
          <w:szCs w:val="28"/>
          <w:lang w:eastAsia="zh-CN"/>
        </w:rPr>
      </w:pPr>
      <w:r>
        <w:rPr>
          <w:rFonts w:hint="eastAsia" w:ascii="Times New Roman" w:hAnsi="Times New Roman" w:eastAsia="宋体" w:cs="Times New Roman"/>
          <w:color w:val="000000"/>
          <w:sz w:val="28"/>
          <w:szCs w:val="28"/>
          <w:lang w:val="en-US" w:eastAsia="zh-CN"/>
        </w:rPr>
        <w:t>为做好本标准的编制工作，前期标准起草单位江西省生态环境科学研究与规划院通过大量资料收集、实地调研、部门对接等方式，基本摸清我省重点湖库水生态质量现状，为本标准编制提供了有力的数据支撑。中国科学院水生生物研究所和中国环境科学研究院长期从事水生生物修复技术研发，在太湖、滇池、巢湖、武汉东湖等重要水体均有治理经验，集成了一批典型案例，为本标准编制提供了的充足的技术保障</w:t>
      </w:r>
    </w:p>
    <w:p w14:paraId="00894E06">
      <w:pPr>
        <w:pStyle w:val="2"/>
        <w:numPr>
          <w:ilvl w:val="0"/>
          <w:numId w:val="0"/>
        </w:numPr>
        <w:bidi w:val="0"/>
        <w:ind w:left="0" w:leftChars="0" w:firstLine="0" w:firstLineChars="0"/>
        <w:rPr>
          <w:rFonts w:hint="eastAsia" w:ascii="Times New Roman" w:hAnsi="Times New Roman" w:cs="Times New Roman"/>
          <w:lang w:eastAsia="zh-CN"/>
        </w:rPr>
      </w:pPr>
      <w:bookmarkStart w:id="9" w:name="_Toc9363"/>
      <w:r>
        <w:rPr>
          <w:rFonts w:hint="eastAsia" w:ascii="Times New Roman" w:hAnsi="Times New Roman" w:eastAsia="黑体" w:cs="Times New Roman"/>
          <w:sz w:val="32"/>
          <w:szCs w:val="28"/>
          <w:lang w:val="en-US" w:eastAsia="zh-CN" w:bidi="ar-SA"/>
        </w:rPr>
        <w:t>三、</w:t>
      </w:r>
      <w:r>
        <w:rPr>
          <w:rFonts w:hint="eastAsia" w:ascii="Times New Roman" w:hAnsi="Times New Roman" w:cs="Times New Roman"/>
          <w:lang w:eastAsia="zh-CN"/>
        </w:rPr>
        <w:t>标准</w:t>
      </w:r>
      <w:bookmarkEnd w:id="6"/>
      <w:r>
        <w:rPr>
          <w:rFonts w:hint="eastAsia" w:ascii="Times New Roman" w:hAnsi="Times New Roman" w:cs="Times New Roman"/>
          <w:lang w:eastAsia="zh-CN"/>
        </w:rPr>
        <w:t>框架的确定</w:t>
      </w:r>
      <w:bookmarkEnd w:id="9"/>
    </w:p>
    <w:p w14:paraId="6FD51999">
      <w:pPr>
        <w:pStyle w:val="3"/>
        <w:numPr>
          <w:ilvl w:val="1"/>
          <w:numId w:val="0"/>
        </w:numPr>
        <w:bidi w:val="0"/>
        <w:ind w:left="0" w:leftChars="0" w:firstLine="0" w:firstLineChars="0"/>
      </w:pPr>
      <w:bookmarkStart w:id="10" w:name="_Toc7993749"/>
      <w:bookmarkStart w:id="11" w:name="_Toc516221856"/>
      <w:bookmarkStart w:id="12" w:name="_Toc19953"/>
      <w:bookmarkStart w:id="13" w:name="_Toc6432764"/>
      <w:bookmarkStart w:id="14" w:name="_Toc267645451"/>
      <w:bookmarkStart w:id="15" w:name="_Toc315921000"/>
      <w:bookmarkStart w:id="16" w:name="_Toc246884250"/>
      <w:bookmarkStart w:id="17" w:name="_Toc267904043"/>
      <w:bookmarkStart w:id="18" w:name="_Toc276747165"/>
      <w:bookmarkStart w:id="19" w:name="_Toc516221859"/>
      <w:bookmarkStart w:id="20" w:name="_Toc29715"/>
      <w:bookmarkStart w:id="21" w:name="_Toc273611421"/>
      <w:r>
        <w:rPr>
          <w:rFonts w:hint="eastAsia" w:ascii="Times New Roman" w:hAnsi="Times New Roman" w:cs="Times New Roman"/>
          <w:sz w:val="28"/>
          <w:szCs w:val="21"/>
          <w:lang w:val="en-US" w:eastAsia="zh-CN" w:bidi="ar-SA"/>
        </w:rPr>
        <w:t>3.1</w:t>
      </w:r>
      <w:r>
        <w:t>总体思路</w:t>
      </w:r>
      <w:bookmarkEnd w:id="10"/>
      <w:bookmarkEnd w:id="11"/>
      <w:bookmarkEnd w:id="12"/>
      <w:bookmarkEnd w:id="13"/>
    </w:p>
    <w:p w14:paraId="53AD0EF7">
      <w:pPr>
        <w:adjustRightInd w:val="0"/>
        <w:snapToGrid w:val="0"/>
        <w:spacing w:line="360" w:lineRule="auto"/>
        <w:ind w:firstLine="560"/>
        <w:rPr>
          <w:color w:val="000000"/>
          <w:sz w:val="28"/>
          <w:szCs w:val="28"/>
          <w:lang w:eastAsia="zh-CN"/>
        </w:rPr>
      </w:pPr>
      <w:r>
        <w:rPr>
          <w:sz w:val="28"/>
          <w:szCs w:val="24"/>
          <w:lang w:eastAsia="zh-CN"/>
        </w:rPr>
        <w:t>本文件制定的总体思路是：以现行法律法规及标准规范要求为依据，遵循“</w:t>
      </w:r>
      <w:r>
        <w:rPr>
          <w:rFonts w:hint="eastAsia"/>
          <w:sz w:val="28"/>
          <w:szCs w:val="24"/>
          <w:lang w:eastAsia="zh-CN"/>
        </w:rPr>
        <w:t>标本兼治、安全可靠、经济适用</w:t>
      </w:r>
      <w:r>
        <w:rPr>
          <w:sz w:val="28"/>
          <w:szCs w:val="24"/>
          <w:lang w:eastAsia="zh-CN"/>
        </w:rPr>
        <w:t>”的原则，</w:t>
      </w:r>
      <w:r>
        <w:rPr>
          <w:sz w:val="28"/>
          <w:szCs w:val="28"/>
          <w:lang w:eastAsia="zh-CN"/>
        </w:rPr>
        <w:t>通过对我省</w:t>
      </w:r>
      <w:r>
        <w:rPr>
          <w:rFonts w:hint="eastAsia"/>
          <w:sz w:val="28"/>
          <w:szCs w:val="28"/>
          <w:lang w:eastAsia="zh-CN"/>
        </w:rPr>
        <w:t>湖库</w:t>
      </w:r>
      <w:r>
        <w:rPr>
          <w:rFonts w:hint="eastAsia"/>
          <w:sz w:val="28"/>
          <w:szCs w:val="28"/>
          <w:lang w:val="en-US" w:eastAsia="zh-CN"/>
        </w:rPr>
        <w:t>水生生物</w:t>
      </w:r>
      <w:r>
        <w:rPr>
          <w:rFonts w:hint="eastAsia"/>
          <w:sz w:val="28"/>
          <w:szCs w:val="28"/>
          <w:lang w:eastAsia="zh-CN"/>
        </w:rPr>
        <w:t>修复</w:t>
      </w:r>
      <w:r>
        <w:rPr>
          <w:sz w:val="28"/>
          <w:szCs w:val="28"/>
          <w:lang w:eastAsia="zh-CN"/>
        </w:rPr>
        <w:t>适用技术的调研，</w:t>
      </w:r>
      <w:r>
        <w:rPr>
          <w:sz w:val="28"/>
          <w:szCs w:val="24"/>
          <w:lang w:eastAsia="zh-CN"/>
        </w:rPr>
        <w:t>在充分总结经验的基础上，根据江西省各地</w:t>
      </w:r>
      <w:r>
        <w:rPr>
          <w:rFonts w:hint="eastAsia"/>
          <w:sz w:val="28"/>
          <w:szCs w:val="28"/>
          <w:lang w:val="en-US" w:eastAsia="zh-CN"/>
        </w:rPr>
        <w:t>水生生物</w:t>
      </w:r>
      <w:r>
        <w:rPr>
          <w:rFonts w:hint="eastAsia"/>
          <w:sz w:val="28"/>
          <w:szCs w:val="24"/>
          <w:lang w:eastAsia="zh-CN"/>
        </w:rPr>
        <w:t>修复工程实施现状和未来</w:t>
      </w:r>
      <w:r>
        <w:rPr>
          <w:sz w:val="28"/>
          <w:szCs w:val="24"/>
          <w:lang w:eastAsia="zh-CN"/>
        </w:rPr>
        <w:t>需求，通过</w:t>
      </w:r>
      <w:r>
        <w:rPr>
          <w:rFonts w:hint="eastAsia"/>
          <w:sz w:val="28"/>
          <w:szCs w:val="24"/>
          <w:lang w:eastAsia="zh-CN"/>
        </w:rPr>
        <w:t>资料查阅</w:t>
      </w:r>
      <w:r>
        <w:rPr>
          <w:sz w:val="28"/>
          <w:szCs w:val="24"/>
          <w:lang w:eastAsia="zh-CN"/>
        </w:rPr>
        <w:t>、实地调研、专家咨询等多种形式，合理确定</w:t>
      </w:r>
      <w:r>
        <w:rPr>
          <w:rFonts w:hint="eastAsia"/>
          <w:sz w:val="28"/>
          <w:szCs w:val="24"/>
          <w:lang w:eastAsia="zh-CN"/>
        </w:rPr>
        <w:t>指南</w:t>
      </w:r>
      <w:r>
        <w:rPr>
          <w:sz w:val="28"/>
          <w:szCs w:val="24"/>
          <w:lang w:eastAsia="zh-CN"/>
        </w:rPr>
        <w:t>框架结构，准确定位</w:t>
      </w:r>
      <w:r>
        <w:rPr>
          <w:rFonts w:hint="eastAsia"/>
          <w:sz w:val="28"/>
          <w:szCs w:val="24"/>
          <w:lang w:eastAsia="zh-CN"/>
        </w:rPr>
        <w:t>各技术的适用范围、特点及限制因素</w:t>
      </w:r>
      <w:r>
        <w:rPr>
          <w:sz w:val="28"/>
          <w:szCs w:val="24"/>
          <w:lang w:eastAsia="zh-CN"/>
        </w:rPr>
        <w:t>，</w:t>
      </w:r>
      <w:r>
        <w:rPr>
          <w:rFonts w:hint="eastAsia"/>
          <w:color w:val="000000"/>
          <w:sz w:val="28"/>
          <w:szCs w:val="28"/>
          <w:lang w:eastAsia="zh-CN"/>
        </w:rPr>
        <w:t>我省湖库</w:t>
      </w:r>
      <w:r>
        <w:rPr>
          <w:rFonts w:hint="eastAsia"/>
          <w:sz w:val="28"/>
          <w:szCs w:val="28"/>
          <w:lang w:val="en-US" w:eastAsia="zh-CN"/>
        </w:rPr>
        <w:t>水生生物</w:t>
      </w:r>
      <w:r>
        <w:rPr>
          <w:rFonts w:hint="eastAsia"/>
          <w:color w:val="000000"/>
          <w:sz w:val="28"/>
          <w:szCs w:val="28"/>
          <w:lang w:eastAsia="zh-CN"/>
        </w:rPr>
        <w:t>修复工作</w:t>
      </w:r>
      <w:r>
        <w:rPr>
          <w:color w:val="000000"/>
          <w:sz w:val="28"/>
          <w:szCs w:val="28"/>
          <w:lang w:eastAsia="zh-CN"/>
        </w:rPr>
        <w:t>提供强有力的技术支撑。</w:t>
      </w:r>
    </w:p>
    <w:p w14:paraId="40E27A9E">
      <w:pPr>
        <w:pStyle w:val="3"/>
        <w:keepNext w:val="0"/>
        <w:keepLines w:val="0"/>
        <w:numPr>
          <w:ilvl w:val="1"/>
          <w:numId w:val="0"/>
        </w:numPr>
        <w:adjustRightInd w:val="0"/>
        <w:snapToGrid w:val="0"/>
        <w:spacing w:before="0" w:beforeLines="0" w:after="0" w:afterLines="0" w:line="360" w:lineRule="auto"/>
        <w:ind w:left="0" w:leftChars="0" w:firstLine="0" w:firstLineChars="0"/>
        <w:rPr>
          <w:color w:val="000000"/>
          <w:sz w:val="30"/>
          <w:szCs w:val="30"/>
        </w:rPr>
      </w:pPr>
      <w:bookmarkStart w:id="22" w:name="_Toc6432765"/>
      <w:bookmarkStart w:id="23" w:name="_Toc3336"/>
      <w:bookmarkStart w:id="24" w:name="_Toc7993750"/>
      <w:r>
        <w:rPr>
          <w:rFonts w:hint="eastAsia"/>
          <w:color w:val="000000"/>
          <w:sz w:val="30"/>
          <w:szCs w:val="30"/>
          <w:lang w:val="en-US" w:eastAsia="zh-CN"/>
        </w:rPr>
        <w:t>3.2</w:t>
      </w:r>
      <w:r>
        <w:rPr>
          <w:color w:val="000000"/>
          <w:sz w:val="30"/>
          <w:szCs w:val="30"/>
        </w:rPr>
        <w:t>编制依据</w:t>
      </w:r>
      <w:bookmarkEnd w:id="14"/>
      <w:bookmarkEnd w:id="15"/>
      <w:bookmarkEnd w:id="16"/>
      <w:bookmarkEnd w:id="17"/>
      <w:bookmarkEnd w:id="18"/>
      <w:bookmarkEnd w:id="19"/>
      <w:bookmarkEnd w:id="20"/>
      <w:bookmarkEnd w:id="21"/>
      <w:bookmarkEnd w:id="22"/>
      <w:bookmarkEnd w:id="23"/>
      <w:bookmarkEnd w:id="24"/>
    </w:p>
    <w:p w14:paraId="4CC09176">
      <w:pPr>
        <w:adjustRightInd w:val="0"/>
        <w:snapToGrid w:val="0"/>
        <w:spacing w:line="360" w:lineRule="auto"/>
        <w:ind w:firstLine="560"/>
        <w:rPr>
          <w:sz w:val="28"/>
          <w:szCs w:val="24"/>
          <w:lang w:eastAsia="zh-CN"/>
        </w:rPr>
      </w:pPr>
      <w:r>
        <w:rPr>
          <w:rFonts w:hint="eastAsia"/>
          <w:sz w:val="28"/>
          <w:szCs w:val="24"/>
          <w:lang w:eastAsia="zh-CN"/>
        </w:rPr>
        <w:t>本系列指南的制定参考借鉴了《地表水环境质量标准》（GB 3838）、《污水综合排放标准》（GB 8978）、《水质采样方案设计规定》（GB/T 12997）、《水质采样样品的保存和管理技术规定》（GB/T 12999）、《水质、湖泊和水库采样技术指导》（GB/T 14581）、《地下水质量标准》（GB/T 14848）、《河道整治设计规范》（GB 50707）等国家标准。</w:t>
      </w:r>
    </w:p>
    <w:p w14:paraId="7DDB5954">
      <w:pPr>
        <w:adjustRightInd w:val="0"/>
        <w:snapToGrid w:val="0"/>
        <w:spacing w:line="360" w:lineRule="auto"/>
        <w:ind w:firstLine="560"/>
        <w:rPr>
          <w:sz w:val="28"/>
          <w:szCs w:val="24"/>
          <w:lang w:eastAsia="zh-CN"/>
        </w:rPr>
      </w:pPr>
      <w:r>
        <w:rPr>
          <w:rFonts w:hint="eastAsia"/>
          <w:sz w:val="28"/>
          <w:szCs w:val="24"/>
          <w:lang w:eastAsia="zh-CN"/>
        </w:rPr>
        <w:t>参考借鉴了《地表水和污水监测技术规范》（HJ/T 91）、《生态环境状况评价技术规范》（HJ/T 192）、《饮用水水源保护区划分技术规范》（HJ/T 338）、《人工湿地污水处理工程技术规范》（HJ 2005）、《生物接触氧化法污水处理工程技术规范》（HJ 2009）、《生活饮用水源地水源水质标准》（CJ 3020）、《水文调查规范》（SL 196）、《河湖生态系统保护与修复工程技术导则》（SL/T 800）、《河湖生态缓冲带保护修复技术指南》（环办水体函〔2021〕558号）、《重庆市湖库生态修复适宜技术选择指南》（渝环办〔2017〕672 号）、《湖滨带生态修复工程技术指南》（环办〔2014〕111号）、《湖泊流域入湖河流河道生态修复技术指南》（环办〔2014〕111号）等行业标准、地方标准和部委指南，</w:t>
      </w:r>
      <w:r>
        <w:rPr>
          <w:sz w:val="28"/>
          <w:szCs w:val="24"/>
          <w:lang w:eastAsia="zh-CN"/>
        </w:rPr>
        <w:t>吸取了各</w:t>
      </w:r>
      <w:r>
        <w:rPr>
          <w:rFonts w:hint="eastAsia"/>
          <w:sz w:val="28"/>
          <w:szCs w:val="24"/>
          <w:lang w:eastAsia="zh-CN"/>
        </w:rPr>
        <w:t>方面</w:t>
      </w:r>
      <w:r>
        <w:rPr>
          <w:sz w:val="28"/>
          <w:szCs w:val="24"/>
          <w:lang w:eastAsia="zh-CN"/>
        </w:rPr>
        <w:t>的优秀经验做法。</w:t>
      </w:r>
    </w:p>
    <w:p w14:paraId="4AC177E5">
      <w:pPr>
        <w:pStyle w:val="3"/>
        <w:keepNext w:val="0"/>
        <w:keepLines w:val="0"/>
        <w:numPr>
          <w:ilvl w:val="1"/>
          <w:numId w:val="0"/>
        </w:numPr>
        <w:adjustRightInd w:val="0"/>
        <w:snapToGrid w:val="0"/>
        <w:spacing w:before="0" w:beforeLines="0" w:after="0" w:afterLines="0" w:line="360" w:lineRule="auto"/>
        <w:ind w:left="0" w:leftChars="0" w:firstLine="0" w:firstLineChars="0"/>
        <w:rPr>
          <w:color w:val="000000"/>
          <w:sz w:val="30"/>
          <w:szCs w:val="30"/>
        </w:rPr>
      </w:pPr>
      <w:bookmarkStart w:id="25" w:name="_Toc7993751"/>
      <w:bookmarkStart w:id="26" w:name="_Toc7452"/>
      <w:bookmarkStart w:id="27" w:name="_Toc23665"/>
      <w:bookmarkStart w:id="28" w:name="_Toc515275978"/>
      <w:bookmarkStart w:id="29" w:name="_Toc27143"/>
      <w:bookmarkStart w:id="30" w:name="_Toc6432766"/>
      <w:bookmarkStart w:id="31" w:name="_Toc6795"/>
      <w:r>
        <w:rPr>
          <w:rFonts w:hint="eastAsia"/>
          <w:color w:val="000000"/>
          <w:sz w:val="30"/>
          <w:szCs w:val="30"/>
          <w:lang w:val="en-US" w:eastAsia="zh-CN"/>
        </w:rPr>
        <w:t>3.3</w:t>
      </w:r>
      <w:r>
        <w:rPr>
          <w:color w:val="000000"/>
          <w:sz w:val="30"/>
          <w:szCs w:val="30"/>
        </w:rPr>
        <w:t>编制原则</w:t>
      </w:r>
      <w:bookmarkEnd w:id="25"/>
      <w:bookmarkEnd w:id="26"/>
      <w:bookmarkEnd w:id="27"/>
      <w:bookmarkEnd w:id="28"/>
      <w:bookmarkEnd w:id="29"/>
      <w:bookmarkEnd w:id="30"/>
      <w:bookmarkEnd w:id="31"/>
    </w:p>
    <w:p w14:paraId="4794558F">
      <w:pPr>
        <w:adjustRightInd w:val="0"/>
        <w:snapToGrid w:val="0"/>
        <w:spacing w:line="360" w:lineRule="auto"/>
        <w:ind w:firstLine="560"/>
        <w:rPr>
          <w:sz w:val="28"/>
          <w:szCs w:val="28"/>
          <w:lang w:eastAsia="zh-CN"/>
        </w:rPr>
      </w:pPr>
      <w:bookmarkStart w:id="32" w:name="_Toc26924"/>
      <w:bookmarkStart w:id="33" w:name="_Toc14041"/>
      <w:bookmarkStart w:id="34" w:name="_Hlk535521398"/>
      <w:bookmarkStart w:id="35" w:name="_Toc820"/>
      <w:r>
        <w:rPr>
          <w:sz w:val="28"/>
          <w:szCs w:val="28"/>
          <w:lang w:eastAsia="zh-CN"/>
        </w:rPr>
        <w:t>本文件编制坚持</w:t>
      </w:r>
      <w:r>
        <w:rPr>
          <w:rFonts w:hint="eastAsia"/>
          <w:sz w:val="28"/>
          <w:szCs w:val="28"/>
          <w:lang w:eastAsia="zh-CN"/>
        </w:rPr>
        <w:t>、安全可靠、经济适用</w:t>
      </w:r>
      <w:r>
        <w:rPr>
          <w:sz w:val="28"/>
          <w:szCs w:val="28"/>
          <w:lang w:eastAsia="zh-CN"/>
        </w:rPr>
        <w:t>等原则。</w:t>
      </w:r>
    </w:p>
    <w:p w14:paraId="09220BF0">
      <w:pPr>
        <w:adjustRightInd w:val="0"/>
        <w:snapToGrid w:val="0"/>
        <w:spacing w:line="360" w:lineRule="auto"/>
        <w:ind w:firstLine="560"/>
        <w:rPr>
          <w:sz w:val="28"/>
          <w:szCs w:val="28"/>
          <w:lang w:eastAsia="zh-CN"/>
        </w:rPr>
      </w:pPr>
      <w:r>
        <w:rPr>
          <w:sz w:val="28"/>
          <w:szCs w:val="28"/>
          <w:lang w:eastAsia="zh-CN"/>
        </w:rPr>
        <w:t>（1）</w:t>
      </w:r>
      <w:r>
        <w:rPr>
          <w:rFonts w:hint="eastAsia"/>
          <w:sz w:val="28"/>
          <w:szCs w:val="28"/>
          <w:lang w:eastAsia="zh-CN"/>
        </w:rPr>
        <w:t>标本兼治</w:t>
      </w:r>
    </w:p>
    <w:p w14:paraId="6F6B13A7">
      <w:pPr>
        <w:adjustRightInd w:val="0"/>
        <w:snapToGrid w:val="0"/>
        <w:spacing w:line="360" w:lineRule="auto"/>
        <w:ind w:firstLine="560"/>
        <w:rPr>
          <w:sz w:val="28"/>
          <w:szCs w:val="28"/>
          <w:lang w:eastAsia="zh-CN"/>
        </w:rPr>
      </w:pPr>
      <w:r>
        <w:rPr>
          <w:rFonts w:hint="eastAsia"/>
          <w:sz w:val="28"/>
          <w:szCs w:val="28"/>
          <w:lang w:eastAsia="zh-CN"/>
        </w:rPr>
        <w:t>指南</w:t>
      </w:r>
      <w:r>
        <w:rPr>
          <w:sz w:val="28"/>
          <w:szCs w:val="28"/>
          <w:lang w:eastAsia="zh-CN"/>
        </w:rPr>
        <w:t>规定了</w:t>
      </w:r>
      <w:r>
        <w:rPr>
          <w:rFonts w:hint="eastAsia"/>
          <w:sz w:val="28"/>
          <w:szCs w:val="28"/>
          <w:lang w:eastAsia="zh-CN"/>
        </w:rPr>
        <w:t>水生生物修复</w:t>
      </w:r>
      <w:r>
        <w:rPr>
          <w:sz w:val="28"/>
          <w:szCs w:val="28"/>
          <w:lang w:eastAsia="zh-CN"/>
        </w:rPr>
        <w:t>方面的技术要求</w:t>
      </w:r>
      <w:r>
        <w:rPr>
          <w:rFonts w:hint="eastAsia"/>
          <w:sz w:val="28"/>
          <w:szCs w:val="28"/>
          <w:lang w:eastAsia="zh-CN"/>
        </w:rPr>
        <w:t>，</w:t>
      </w:r>
      <w:r>
        <w:rPr>
          <w:sz w:val="28"/>
          <w:szCs w:val="28"/>
          <w:lang w:eastAsia="zh-CN"/>
        </w:rPr>
        <w:t>从</w:t>
      </w:r>
      <w:r>
        <w:rPr>
          <w:rFonts w:hint="eastAsia"/>
          <w:sz w:val="28"/>
          <w:szCs w:val="28"/>
          <w:lang w:eastAsia="zh-CN"/>
        </w:rPr>
        <w:t>湖库水生生态修复</w:t>
      </w:r>
      <w:r>
        <w:rPr>
          <w:sz w:val="28"/>
          <w:szCs w:val="28"/>
          <w:lang w:eastAsia="zh-CN"/>
        </w:rPr>
        <w:t>整体视角综合考虑</w:t>
      </w:r>
      <w:r>
        <w:rPr>
          <w:rFonts w:hint="eastAsia"/>
          <w:sz w:val="28"/>
          <w:szCs w:val="28"/>
          <w:lang w:eastAsia="zh-CN"/>
        </w:rPr>
        <w:t>标本兼治</w:t>
      </w:r>
      <w:r>
        <w:rPr>
          <w:sz w:val="28"/>
          <w:szCs w:val="28"/>
          <w:lang w:eastAsia="zh-CN"/>
        </w:rPr>
        <w:t>。</w:t>
      </w:r>
    </w:p>
    <w:p w14:paraId="05A7C602">
      <w:pPr>
        <w:adjustRightInd w:val="0"/>
        <w:snapToGrid w:val="0"/>
        <w:spacing w:line="360" w:lineRule="auto"/>
        <w:ind w:firstLine="560"/>
        <w:rPr>
          <w:sz w:val="28"/>
          <w:szCs w:val="28"/>
          <w:lang w:eastAsia="zh-CN"/>
        </w:rPr>
      </w:pPr>
      <w:r>
        <w:rPr>
          <w:sz w:val="28"/>
          <w:szCs w:val="28"/>
          <w:lang w:eastAsia="zh-CN"/>
        </w:rPr>
        <w:t>（2）</w:t>
      </w:r>
      <w:r>
        <w:rPr>
          <w:rFonts w:hint="eastAsia"/>
          <w:sz w:val="28"/>
          <w:szCs w:val="28"/>
          <w:lang w:eastAsia="zh-CN"/>
        </w:rPr>
        <w:t>安全可靠</w:t>
      </w:r>
    </w:p>
    <w:p w14:paraId="1BE2B276">
      <w:pPr>
        <w:adjustRightInd w:val="0"/>
        <w:snapToGrid w:val="0"/>
        <w:spacing w:line="360" w:lineRule="auto"/>
        <w:ind w:firstLine="560"/>
        <w:rPr>
          <w:sz w:val="28"/>
          <w:szCs w:val="28"/>
          <w:lang w:eastAsia="zh-CN"/>
        </w:rPr>
      </w:pPr>
      <w:r>
        <w:rPr>
          <w:sz w:val="28"/>
          <w:szCs w:val="28"/>
          <w:lang w:eastAsia="zh-CN"/>
        </w:rPr>
        <w:t>针对江西省</w:t>
      </w:r>
      <w:r>
        <w:rPr>
          <w:rFonts w:hint="eastAsia"/>
          <w:sz w:val="28"/>
          <w:szCs w:val="28"/>
          <w:lang w:eastAsia="zh-CN"/>
        </w:rPr>
        <w:t>水域</w:t>
      </w:r>
      <w:r>
        <w:rPr>
          <w:sz w:val="28"/>
          <w:szCs w:val="28"/>
          <w:lang w:eastAsia="zh-CN"/>
        </w:rPr>
        <w:t>特点</w:t>
      </w:r>
      <w:r>
        <w:rPr>
          <w:rFonts w:hint="eastAsia"/>
          <w:sz w:val="28"/>
          <w:szCs w:val="28"/>
          <w:lang w:eastAsia="zh-CN"/>
        </w:rPr>
        <w:t>和生态安全</w:t>
      </w:r>
      <w:r>
        <w:rPr>
          <w:sz w:val="28"/>
          <w:szCs w:val="28"/>
          <w:lang w:eastAsia="zh-CN"/>
        </w:rPr>
        <w:t>，提出</w:t>
      </w:r>
      <w:r>
        <w:rPr>
          <w:rFonts w:hint="eastAsia"/>
          <w:sz w:val="28"/>
          <w:szCs w:val="28"/>
          <w:lang w:eastAsia="zh-CN"/>
        </w:rPr>
        <w:t>安全可靠</w:t>
      </w:r>
      <w:r>
        <w:rPr>
          <w:sz w:val="28"/>
          <w:szCs w:val="28"/>
          <w:lang w:eastAsia="zh-CN"/>
        </w:rPr>
        <w:t>的技术</w:t>
      </w:r>
      <w:r>
        <w:rPr>
          <w:rFonts w:hint="eastAsia"/>
          <w:sz w:val="28"/>
          <w:szCs w:val="28"/>
          <w:lang w:eastAsia="zh-CN"/>
        </w:rPr>
        <w:t>措施</w:t>
      </w:r>
      <w:r>
        <w:rPr>
          <w:sz w:val="28"/>
          <w:szCs w:val="28"/>
          <w:lang w:eastAsia="zh-CN"/>
        </w:rPr>
        <w:t>。</w:t>
      </w:r>
    </w:p>
    <w:p w14:paraId="0BE91A59">
      <w:pPr>
        <w:adjustRightInd w:val="0"/>
        <w:snapToGrid w:val="0"/>
        <w:spacing w:line="360" w:lineRule="auto"/>
        <w:ind w:firstLine="560"/>
        <w:rPr>
          <w:sz w:val="28"/>
          <w:szCs w:val="28"/>
          <w:lang w:eastAsia="zh-CN"/>
        </w:rPr>
      </w:pPr>
      <w:r>
        <w:rPr>
          <w:sz w:val="28"/>
          <w:szCs w:val="28"/>
          <w:lang w:eastAsia="zh-CN"/>
        </w:rPr>
        <w:t>（3）</w:t>
      </w:r>
      <w:r>
        <w:rPr>
          <w:rFonts w:hint="eastAsia"/>
          <w:sz w:val="28"/>
          <w:szCs w:val="28"/>
          <w:lang w:eastAsia="zh-CN"/>
        </w:rPr>
        <w:t>经济适用</w:t>
      </w:r>
    </w:p>
    <w:p w14:paraId="36E26980">
      <w:pPr>
        <w:adjustRightInd w:val="0"/>
        <w:snapToGrid w:val="0"/>
        <w:spacing w:line="360" w:lineRule="auto"/>
        <w:ind w:firstLine="560"/>
        <w:rPr>
          <w:sz w:val="28"/>
          <w:szCs w:val="28"/>
          <w:lang w:eastAsia="zh-CN"/>
        </w:rPr>
      </w:pPr>
      <w:r>
        <w:rPr>
          <w:sz w:val="28"/>
          <w:szCs w:val="28"/>
          <w:lang w:eastAsia="zh-CN"/>
        </w:rPr>
        <w:t>将以当前及未来一定时间内江西省的</w:t>
      </w:r>
      <w:r>
        <w:rPr>
          <w:rFonts w:hint="eastAsia"/>
          <w:sz w:val="28"/>
          <w:szCs w:val="28"/>
          <w:lang w:val="en-US" w:eastAsia="zh-CN"/>
        </w:rPr>
        <w:t>水生生物</w:t>
      </w:r>
      <w:r>
        <w:rPr>
          <w:rFonts w:hint="eastAsia"/>
          <w:sz w:val="28"/>
          <w:szCs w:val="28"/>
          <w:lang w:eastAsia="zh-CN"/>
        </w:rPr>
        <w:t>修复</w:t>
      </w:r>
      <w:r>
        <w:rPr>
          <w:sz w:val="28"/>
          <w:szCs w:val="28"/>
          <w:lang w:eastAsia="zh-CN"/>
        </w:rPr>
        <w:t>需求为基础，充分考虑现阶段</w:t>
      </w:r>
      <w:r>
        <w:rPr>
          <w:rFonts w:hint="eastAsia"/>
          <w:sz w:val="28"/>
          <w:szCs w:val="28"/>
          <w:lang w:eastAsia="zh-CN"/>
        </w:rPr>
        <w:t>地方经济和修复</w:t>
      </w:r>
      <w:r>
        <w:rPr>
          <w:sz w:val="28"/>
          <w:szCs w:val="28"/>
          <w:lang w:eastAsia="zh-CN"/>
        </w:rPr>
        <w:t>技术发展水平，提出</w:t>
      </w:r>
      <w:r>
        <w:rPr>
          <w:rFonts w:hint="eastAsia"/>
          <w:sz w:val="28"/>
          <w:szCs w:val="28"/>
          <w:lang w:eastAsia="zh-CN"/>
        </w:rPr>
        <w:t>经济适用的</w:t>
      </w:r>
      <w:r>
        <w:rPr>
          <w:sz w:val="28"/>
          <w:szCs w:val="28"/>
          <w:lang w:eastAsia="zh-CN"/>
        </w:rPr>
        <w:t>的技术。</w:t>
      </w:r>
      <w:bookmarkStart w:id="36" w:name="_Hlk95465884"/>
    </w:p>
    <w:bookmarkEnd w:id="32"/>
    <w:bookmarkEnd w:id="33"/>
    <w:bookmarkEnd w:id="34"/>
    <w:bookmarkEnd w:id="35"/>
    <w:bookmarkEnd w:id="36"/>
    <w:p w14:paraId="77397BA1">
      <w:pPr>
        <w:pStyle w:val="2"/>
        <w:numPr>
          <w:ilvl w:val="0"/>
          <w:numId w:val="0"/>
        </w:numPr>
        <w:bidi w:val="0"/>
        <w:ind w:left="0" w:leftChars="0" w:firstLine="0" w:firstLineChars="0"/>
        <w:rPr>
          <w:rFonts w:hint="eastAsia" w:ascii="Times New Roman" w:hAnsi="Times New Roman" w:cs="Times New Roman"/>
          <w:lang w:eastAsia="zh-CN"/>
        </w:rPr>
      </w:pPr>
      <w:bookmarkStart w:id="37" w:name="_Toc18443"/>
      <w:r>
        <w:rPr>
          <w:rFonts w:hint="eastAsia" w:ascii="Times New Roman" w:hAnsi="Times New Roman" w:eastAsia="黑体" w:cs="Times New Roman"/>
          <w:sz w:val="32"/>
          <w:szCs w:val="28"/>
          <w:lang w:val="en-US" w:eastAsia="zh-CN" w:bidi="ar-SA"/>
        </w:rPr>
        <w:t>四、</w:t>
      </w:r>
      <w:r>
        <w:rPr>
          <w:rFonts w:hint="eastAsia" w:ascii="Times New Roman" w:hAnsi="Times New Roman" w:cs="Times New Roman"/>
          <w:lang w:eastAsia="zh-CN"/>
        </w:rPr>
        <w:t>标准编制过程</w:t>
      </w:r>
      <w:bookmarkEnd w:id="37"/>
    </w:p>
    <w:p w14:paraId="7B9D8E31">
      <w:pPr>
        <w:adjustRightInd w:val="0"/>
        <w:snapToGrid w:val="0"/>
        <w:spacing w:line="360" w:lineRule="auto"/>
        <w:ind w:firstLine="560"/>
        <w:rPr>
          <w:color w:val="000000"/>
          <w:sz w:val="28"/>
          <w:szCs w:val="24"/>
          <w:lang w:eastAsia="zh-CN"/>
        </w:rPr>
      </w:pPr>
      <w:bookmarkStart w:id="38" w:name="4_行业产排污情况及污染控制技术分析"/>
      <w:bookmarkEnd w:id="38"/>
      <w:bookmarkStart w:id="39" w:name="3.1_国家及环保主管部门的相关要求"/>
      <w:bookmarkEnd w:id="39"/>
      <w:r>
        <w:rPr>
          <w:color w:val="000000"/>
          <w:sz w:val="28"/>
          <w:szCs w:val="24"/>
          <w:lang w:eastAsia="zh-CN"/>
        </w:rPr>
        <w:t>本</w:t>
      </w:r>
      <w:r>
        <w:rPr>
          <w:rFonts w:hint="eastAsia"/>
          <w:color w:val="000000"/>
          <w:sz w:val="28"/>
          <w:szCs w:val="24"/>
          <w:lang w:val="en-US" w:eastAsia="zh-CN"/>
        </w:rPr>
        <w:t>标准</w:t>
      </w:r>
      <w:r>
        <w:rPr>
          <w:color w:val="000000"/>
          <w:sz w:val="28"/>
          <w:szCs w:val="24"/>
          <w:lang w:eastAsia="zh-CN"/>
        </w:rPr>
        <w:t>编制主要采取政策制度分析、文献调研、案例分析、专家咨询和吸收公众意见等方法。首先进行资料分析，包括政策制度分析、文献调研、案例分析等，研究</w:t>
      </w:r>
      <w:r>
        <w:rPr>
          <w:rFonts w:hint="eastAsia"/>
          <w:color w:val="000000"/>
          <w:sz w:val="28"/>
          <w:szCs w:val="24"/>
          <w:lang w:eastAsia="zh-CN"/>
        </w:rPr>
        <w:t>标准</w:t>
      </w:r>
      <w:r>
        <w:rPr>
          <w:color w:val="000000"/>
          <w:sz w:val="28"/>
          <w:szCs w:val="24"/>
          <w:lang w:eastAsia="zh-CN"/>
        </w:rPr>
        <w:t>编制的必要性、编制要求、规范的主要内容等。通过资料分析，得出</w:t>
      </w:r>
      <w:r>
        <w:rPr>
          <w:rFonts w:hint="eastAsia"/>
          <w:color w:val="000000"/>
          <w:sz w:val="28"/>
          <w:szCs w:val="24"/>
          <w:lang w:eastAsia="zh-CN"/>
        </w:rPr>
        <w:t>标准</w:t>
      </w:r>
      <w:r>
        <w:rPr>
          <w:color w:val="000000"/>
          <w:sz w:val="28"/>
          <w:szCs w:val="24"/>
          <w:lang w:eastAsia="zh-CN"/>
        </w:rPr>
        <w:t>编制的重点。其次，撰写初稿文本，并依据情况，开展多轮的咨询论证，收集</w:t>
      </w:r>
      <w:r>
        <w:rPr>
          <w:rFonts w:hint="eastAsia"/>
          <w:color w:val="000000"/>
          <w:sz w:val="28"/>
          <w:szCs w:val="24"/>
          <w:lang w:eastAsia="zh-CN"/>
        </w:rPr>
        <w:t>科研院所</w:t>
      </w:r>
      <w:r>
        <w:rPr>
          <w:color w:val="000000"/>
          <w:sz w:val="28"/>
          <w:szCs w:val="24"/>
          <w:lang w:eastAsia="zh-CN"/>
        </w:rPr>
        <w:t>、高等院校等意见，不断修改和完善</w:t>
      </w:r>
      <w:r>
        <w:rPr>
          <w:rFonts w:hint="eastAsia"/>
          <w:color w:val="000000"/>
          <w:sz w:val="28"/>
          <w:szCs w:val="24"/>
          <w:lang w:eastAsia="zh-CN"/>
        </w:rPr>
        <w:t>标准</w:t>
      </w:r>
      <w:r>
        <w:rPr>
          <w:color w:val="000000"/>
          <w:sz w:val="28"/>
          <w:szCs w:val="24"/>
          <w:lang w:eastAsia="zh-CN"/>
        </w:rPr>
        <w:t>文本。然后，在</w:t>
      </w:r>
      <w:r>
        <w:rPr>
          <w:rFonts w:hint="eastAsia"/>
          <w:color w:val="000000"/>
          <w:sz w:val="28"/>
          <w:szCs w:val="24"/>
          <w:lang w:eastAsia="zh-CN"/>
        </w:rPr>
        <w:t>标准</w:t>
      </w:r>
      <w:r>
        <w:rPr>
          <w:color w:val="000000"/>
          <w:sz w:val="28"/>
          <w:szCs w:val="24"/>
          <w:lang w:eastAsia="zh-CN"/>
        </w:rPr>
        <w:t>修订稿成熟后，通过正式的程序，向社会公开征求意见。在吸收公开意见的基础上，再次修改和完善</w:t>
      </w:r>
      <w:r>
        <w:rPr>
          <w:rFonts w:hint="eastAsia"/>
          <w:color w:val="000000"/>
          <w:sz w:val="28"/>
          <w:szCs w:val="24"/>
          <w:lang w:eastAsia="zh-CN"/>
        </w:rPr>
        <w:t>标准</w:t>
      </w:r>
      <w:r>
        <w:rPr>
          <w:color w:val="000000"/>
          <w:sz w:val="28"/>
          <w:szCs w:val="24"/>
          <w:lang w:eastAsia="zh-CN"/>
        </w:rPr>
        <w:t>。</w:t>
      </w:r>
    </w:p>
    <w:p w14:paraId="41A357B5">
      <w:pPr>
        <w:adjustRightInd w:val="0"/>
        <w:snapToGrid w:val="0"/>
        <w:spacing w:line="360" w:lineRule="auto"/>
        <w:ind w:firstLine="560"/>
        <w:rPr>
          <w:sz w:val="22"/>
          <w:szCs w:val="24"/>
          <w:lang w:eastAsia="zh-CN"/>
        </w:rPr>
      </w:pPr>
      <w:r>
        <w:rPr>
          <w:sz w:val="28"/>
          <w:szCs w:val="24"/>
          <w:lang w:eastAsia="zh-CN"/>
        </w:rPr>
        <w:t>标准编制的主要工作过程及具体工作内容等如下表所示：</w:t>
      </w:r>
    </w:p>
    <w:p w14:paraId="600F14CF">
      <w:pPr>
        <w:adjustRightInd w:val="0"/>
        <w:snapToGrid w:val="0"/>
        <w:spacing w:line="360" w:lineRule="auto"/>
        <w:ind w:firstLine="0" w:firstLineChars="0"/>
        <w:jc w:val="center"/>
        <w:rPr>
          <w:szCs w:val="32"/>
        </w:rPr>
      </w:pPr>
      <w:r>
        <w:rPr>
          <w:szCs w:val="32"/>
        </w:rPr>
        <w:t>表1 标准编制计划安排</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3"/>
        <w:gridCol w:w="1826"/>
        <w:gridCol w:w="5293"/>
      </w:tblGrid>
      <w:tr w14:paraId="4C4FE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tblHeader/>
          <w:jc w:val="center"/>
        </w:trPr>
        <w:tc>
          <w:tcPr>
            <w:tcW w:w="823" w:type="pct"/>
            <w:vAlign w:val="center"/>
          </w:tcPr>
          <w:p w14:paraId="6E88AF60">
            <w:pPr>
              <w:adjustRightInd w:val="0"/>
              <w:snapToGrid w:val="0"/>
              <w:spacing w:line="240" w:lineRule="auto"/>
              <w:ind w:firstLine="0" w:firstLineChars="0"/>
              <w:jc w:val="center"/>
              <w:rPr>
                <w:b/>
                <w:szCs w:val="24"/>
              </w:rPr>
            </w:pPr>
            <w:r>
              <w:rPr>
                <w:b/>
                <w:szCs w:val="24"/>
              </w:rPr>
              <w:t>时间节点</w:t>
            </w:r>
          </w:p>
        </w:tc>
        <w:tc>
          <w:tcPr>
            <w:tcW w:w="1071" w:type="pct"/>
            <w:vAlign w:val="center"/>
          </w:tcPr>
          <w:p w14:paraId="54551063">
            <w:pPr>
              <w:adjustRightInd w:val="0"/>
              <w:snapToGrid w:val="0"/>
              <w:spacing w:line="240" w:lineRule="auto"/>
              <w:ind w:firstLine="0" w:firstLineChars="0"/>
              <w:jc w:val="center"/>
              <w:rPr>
                <w:b/>
                <w:szCs w:val="24"/>
              </w:rPr>
            </w:pPr>
            <w:r>
              <w:rPr>
                <w:b/>
                <w:szCs w:val="24"/>
              </w:rPr>
              <w:t>阶段工作</w:t>
            </w:r>
          </w:p>
        </w:tc>
        <w:tc>
          <w:tcPr>
            <w:tcW w:w="3105" w:type="pct"/>
            <w:vAlign w:val="center"/>
          </w:tcPr>
          <w:p w14:paraId="22DDDE6E">
            <w:pPr>
              <w:adjustRightInd w:val="0"/>
              <w:snapToGrid w:val="0"/>
              <w:spacing w:line="240" w:lineRule="auto"/>
              <w:ind w:firstLine="0" w:firstLineChars="0"/>
              <w:jc w:val="center"/>
              <w:rPr>
                <w:b/>
                <w:szCs w:val="24"/>
              </w:rPr>
            </w:pPr>
            <w:r>
              <w:rPr>
                <w:b/>
                <w:szCs w:val="24"/>
              </w:rPr>
              <w:t>具体工作内容</w:t>
            </w:r>
          </w:p>
        </w:tc>
      </w:tr>
      <w:tr w14:paraId="33E90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474B7B64">
            <w:pPr>
              <w:adjustRightInd w:val="0"/>
              <w:snapToGrid w:val="0"/>
              <w:spacing w:line="240" w:lineRule="auto"/>
              <w:ind w:firstLine="0" w:firstLineChars="0"/>
              <w:jc w:val="center"/>
              <w:rPr>
                <w:szCs w:val="24"/>
              </w:rPr>
            </w:pPr>
            <w:r>
              <w:rPr>
                <w:szCs w:val="24"/>
              </w:rPr>
              <w:t>2021.10</w:t>
            </w:r>
          </w:p>
        </w:tc>
        <w:tc>
          <w:tcPr>
            <w:tcW w:w="1071" w:type="pct"/>
            <w:vAlign w:val="center"/>
          </w:tcPr>
          <w:p w14:paraId="3D6DAD61">
            <w:pPr>
              <w:adjustRightInd w:val="0"/>
              <w:snapToGrid w:val="0"/>
              <w:spacing w:line="240" w:lineRule="auto"/>
              <w:ind w:firstLine="0" w:firstLineChars="0"/>
              <w:jc w:val="center"/>
              <w:rPr>
                <w:szCs w:val="24"/>
              </w:rPr>
            </w:pPr>
            <w:r>
              <w:rPr>
                <w:szCs w:val="24"/>
              </w:rPr>
              <w:t>申请立项</w:t>
            </w:r>
          </w:p>
        </w:tc>
        <w:tc>
          <w:tcPr>
            <w:tcW w:w="3105" w:type="pct"/>
            <w:vAlign w:val="center"/>
          </w:tcPr>
          <w:p w14:paraId="7D7E39F2">
            <w:pPr>
              <w:adjustRightInd w:val="0"/>
              <w:snapToGrid w:val="0"/>
              <w:spacing w:line="240" w:lineRule="auto"/>
              <w:ind w:firstLine="0" w:firstLineChars="0"/>
              <w:rPr>
                <w:szCs w:val="24"/>
                <w:lang w:eastAsia="zh-CN"/>
              </w:rPr>
            </w:pPr>
            <w:r>
              <w:rPr>
                <w:szCs w:val="24"/>
                <w:lang w:eastAsia="zh-CN"/>
              </w:rPr>
              <w:t>提交地方标准项目建议书和草案。</w:t>
            </w:r>
          </w:p>
        </w:tc>
      </w:tr>
      <w:tr w14:paraId="751C7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1CC34C1B">
            <w:pPr>
              <w:adjustRightInd w:val="0"/>
              <w:snapToGrid w:val="0"/>
              <w:spacing w:line="240" w:lineRule="auto"/>
              <w:ind w:firstLine="0" w:firstLineChars="0"/>
              <w:jc w:val="center"/>
              <w:rPr>
                <w:szCs w:val="24"/>
              </w:rPr>
            </w:pPr>
            <w:r>
              <w:rPr>
                <w:szCs w:val="24"/>
              </w:rPr>
              <w:t>20</w:t>
            </w:r>
            <w:r>
              <w:rPr>
                <w:szCs w:val="24"/>
                <w:lang w:eastAsia="zh-CN"/>
              </w:rPr>
              <w:t>22</w:t>
            </w:r>
            <w:r>
              <w:rPr>
                <w:szCs w:val="24"/>
              </w:rPr>
              <w:t>.</w:t>
            </w:r>
            <w:r>
              <w:rPr>
                <w:rFonts w:hint="eastAsia"/>
                <w:szCs w:val="24"/>
                <w:lang w:val="en-US" w:eastAsia="zh-CN"/>
              </w:rPr>
              <w:t>04</w:t>
            </w:r>
          </w:p>
        </w:tc>
        <w:tc>
          <w:tcPr>
            <w:tcW w:w="1071" w:type="pct"/>
            <w:vAlign w:val="center"/>
          </w:tcPr>
          <w:p w14:paraId="0551A36B">
            <w:pPr>
              <w:adjustRightInd w:val="0"/>
              <w:snapToGrid w:val="0"/>
              <w:spacing w:line="240" w:lineRule="auto"/>
              <w:ind w:firstLine="0" w:firstLineChars="0"/>
              <w:jc w:val="center"/>
              <w:rPr>
                <w:szCs w:val="24"/>
              </w:rPr>
            </w:pPr>
            <w:r>
              <w:rPr>
                <w:szCs w:val="24"/>
              </w:rPr>
              <w:t>立项下达</w:t>
            </w:r>
          </w:p>
        </w:tc>
        <w:tc>
          <w:tcPr>
            <w:tcW w:w="3105" w:type="pct"/>
            <w:vAlign w:val="center"/>
          </w:tcPr>
          <w:p w14:paraId="620C4C94">
            <w:pPr>
              <w:adjustRightInd w:val="0"/>
              <w:snapToGrid w:val="0"/>
              <w:spacing w:line="240" w:lineRule="auto"/>
              <w:ind w:firstLine="0" w:firstLineChars="0"/>
              <w:rPr>
                <w:szCs w:val="24"/>
              </w:rPr>
            </w:pPr>
            <w:r>
              <w:rPr>
                <w:rFonts w:hint="eastAsia"/>
                <w:szCs w:val="24"/>
                <w:lang w:eastAsia="zh-CN"/>
              </w:rPr>
              <w:t>指南</w:t>
            </w:r>
            <w:r>
              <w:rPr>
                <w:szCs w:val="24"/>
              </w:rPr>
              <w:t>计划下达</w:t>
            </w:r>
            <w:r>
              <w:rPr>
                <w:szCs w:val="24"/>
                <w:lang w:eastAsia="zh-CN"/>
              </w:rPr>
              <w:t>。</w:t>
            </w:r>
          </w:p>
        </w:tc>
      </w:tr>
      <w:tr w14:paraId="18D21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5781BE37">
            <w:pPr>
              <w:adjustRightInd w:val="0"/>
              <w:snapToGrid w:val="0"/>
              <w:spacing w:line="240" w:lineRule="auto"/>
              <w:ind w:firstLine="0" w:firstLineChars="0"/>
              <w:jc w:val="center"/>
              <w:rPr>
                <w:rFonts w:hint="default" w:eastAsia="宋体"/>
                <w:szCs w:val="24"/>
                <w:lang w:val="en-US" w:eastAsia="zh-CN"/>
              </w:rPr>
            </w:pPr>
            <w:r>
              <w:rPr>
                <w:rFonts w:hint="eastAsia"/>
                <w:szCs w:val="24"/>
                <w:lang w:val="en-US" w:eastAsia="zh-CN"/>
              </w:rPr>
              <w:t>2022.05</w:t>
            </w:r>
          </w:p>
        </w:tc>
        <w:tc>
          <w:tcPr>
            <w:tcW w:w="1071" w:type="pct"/>
            <w:vAlign w:val="center"/>
          </w:tcPr>
          <w:p w14:paraId="4AC56FD9">
            <w:pPr>
              <w:adjustRightInd w:val="0"/>
              <w:snapToGrid w:val="0"/>
              <w:spacing w:line="240" w:lineRule="auto"/>
              <w:ind w:firstLine="0" w:firstLineChars="0"/>
              <w:jc w:val="center"/>
              <w:rPr>
                <w:szCs w:val="24"/>
              </w:rPr>
            </w:pPr>
            <w:r>
              <w:rPr>
                <w:rFonts w:hint="eastAsia"/>
                <w:szCs w:val="24"/>
                <w:lang w:val="en-US" w:eastAsia="zh-CN"/>
              </w:rPr>
              <w:t>指南（初稿）编制</w:t>
            </w:r>
          </w:p>
        </w:tc>
        <w:tc>
          <w:tcPr>
            <w:tcW w:w="3105" w:type="pct"/>
            <w:vAlign w:val="center"/>
          </w:tcPr>
          <w:p w14:paraId="118C1C74">
            <w:pPr>
              <w:adjustRightInd w:val="0"/>
              <w:snapToGrid w:val="0"/>
              <w:spacing w:line="240" w:lineRule="auto"/>
              <w:ind w:firstLine="0" w:firstLineChars="0"/>
              <w:rPr>
                <w:rFonts w:hint="eastAsia"/>
                <w:szCs w:val="24"/>
                <w:lang w:eastAsia="zh-CN"/>
              </w:rPr>
            </w:pPr>
            <w:r>
              <w:rPr>
                <w:szCs w:val="24"/>
                <w:lang w:eastAsia="zh-CN"/>
              </w:rPr>
              <w:t>收集国内外相关</w:t>
            </w:r>
            <w:r>
              <w:rPr>
                <w:rFonts w:hint="eastAsia"/>
                <w:szCs w:val="24"/>
                <w:lang w:eastAsia="zh-CN"/>
              </w:rPr>
              <w:t>指南</w:t>
            </w:r>
            <w:r>
              <w:rPr>
                <w:szCs w:val="24"/>
                <w:lang w:eastAsia="zh-CN"/>
              </w:rPr>
              <w:t>资料及相关科研成果，国内外应用现状及相关经验总结，存在问题及解决办法，对</w:t>
            </w:r>
            <w:r>
              <w:rPr>
                <w:rFonts w:hint="eastAsia"/>
                <w:szCs w:val="24"/>
                <w:lang w:eastAsia="zh-CN"/>
              </w:rPr>
              <w:t>指南</w:t>
            </w:r>
            <w:r>
              <w:rPr>
                <w:szCs w:val="24"/>
                <w:lang w:eastAsia="zh-CN"/>
              </w:rPr>
              <w:t>中的关键问题或难点问题进行调查研究，为确定</w:t>
            </w:r>
            <w:r>
              <w:rPr>
                <w:rFonts w:hint="eastAsia"/>
                <w:szCs w:val="24"/>
                <w:lang w:eastAsia="zh-CN"/>
              </w:rPr>
              <w:t>指南</w:t>
            </w:r>
            <w:r>
              <w:rPr>
                <w:szCs w:val="24"/>
                <w:lang w:eastAsia="zh-CN"/>
              </w:rPr>
              <w:t>内容提供依据。</w:t>
            </w:r>
            <w:r>
              <w:rPr>
                <w:rFonts w:hint="eastAsia"/>
                <w:szCs w:val="24"/>
                <w:lang w:eastAsia="zh-CN"/>
              </w:rPr>
              <w:t>编制了四项指南和编制说明（</w:t>
            </w:r>
            <w:r>
              <w:rPr>
                <w:rFonts w:hint="eastAsia"/>
                <w:szCs w:val="24"/>
                <w:lang w:val="en-US" w:eastAsia="zh-CN"/>
              </w:rPr>
              <w:t>初</w:t>
            </w:r>
            <w:r>
              <w:rPr>
                <w:rFonts w:hint="eastAsia"/>
                <w:szCs w:val="24"/>
                <w:lang w:eastAsia="zh-CN"/>
              </w:rPr>
              <w:t>稿）</w:t>
            </w:r>
          </w:p>
        </w:tc>
      </w:tr>
      <w:tr w14:paraId="1F262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7FDF6E6F">
            <w:pPr>
              <w:adjustRightInd w:val="0"/>
              <w:snapToGrid w:val="0"/>
              <w:spacing w:line="240" w:lineRule="auto"/>
              <w:ind w:firstLine="0" w:firstLineChars="0"/>
              <w:jc w:val="center"/>
              <w:rPr>
                <w:rFonts w:hint="default"/>
                <w:szCs w:val="24"/>
                <w:lang w:val="en-US"/>
              </w:rPr>
            </w:pPr>
            <w:r>
              <w:rPr>
                <w:szCs w:val="24"/>
              </w:rPr>
              <w:t>20</w:t>
            </w:r>
            <w:r>
              <w:rPr>
                <w:szCs w:val="24"/>
                <w:lang w:eastAsia="zh-CN"/>
              </w:rPr>
              <w:t>22</w:t>
            </w:r>
            <w:r>
              <w:rPr>
                <w:szCs w:val="24"/>
              </w:rPr>
              <w:t>.</w:t>
            </w:r>
            <w:r>
              <w:rPr>
                <w:rFonts w:hint="eastAsia"/>
                <w:szCs w:val="24"/>
                <w:lang w:val="en-US" w:eastAsia="zh-CN"/>
              </w:rPr>
              <w:t>11</w:t>
            </w:r>
          </w:p>
        </w:tc>
        <w:tc>
          <w:tcPr>
            <w:tcW w:w="1071" w:type="pct"/>
            <w:vAlign w:val="center"/>
          </w:tcPr>
          <w:p w14:paraId="20B43D3C">
            <w:pPr>
              <w:adjustRightInd w:val="0"/>
              <w:snapToGrid w:val="0"/>
              <w:spacing w:line="240" w:lineRule="auto"/>
              <w:ind w:firstLine="0" w:firstLineChars="0"/>
              <w:jc w:val="center"/>
              <w:rPr>
                <w:szCs w:val="24"/>
              </w:rPr>
            </w:pPr>
            <w:r>
              <w:rPr>
                <w:szCs w:val="24"/>
              </w:rPr>
              <w:t>专家研讨会</w:t>
            </w:r>
          </w:p>
        </w:tc>
        <w:tc>
          <w:tcPr>
            <w:tcW w:w="3105" w:type="pct"/>
            <w:vAlign w:val="center"/>
          </w:tcPr>
          <w:p w14:paraId="4F9FD232">
            <w:pPr>
              <w:adjustRightInd w:val="0"/>
              <w:snapToGrid w:val="0"/>
              <w:spacing w:line="240" w:lineRule="auto"/>
              <w:ind w:firstLine="0" w:firstLineChars="0"/>
              <w:rPr>
                <w:szCs w:val="24"/>
                <w:lang w:eastAsia="zh-CN"/>
              </w:rPr>
            </w:pPr>
            <w:r>
              <w:rPr>
                <w:szCs w:val="24"/>
                <w:lang w:eastAsia="zh-CN"/>
              </w:rPr>
              <w:t>组织专家研讨会，邀请专家对</w:t>
            </w:r>
            <w:r>
              <w:rPr>
                <w:rFonts w:hint="eastAsia"/>
                <w:szCs w:val="24"/>
                <w:lang w:eastAsia="zh-CN"/>
              </w:rPr>
              <w:t>指南</w:t>
            </w:r>
            <w:r>
              <w:rPr>
                <w:szCs w:val="24"/>
                <w:lang w:eastAsia="zh-CN"/>
              </w:rPr>
              <w:t>文本和编制说明进行审核</w:t>
            </w:r>
            <w:r>
              <w:rPr>
                <w:rFonts w:hint="eastAsia"/>
                <w:szCs w:val="24"/>
                <w:lang w:eastAsia="zh-CN"/>
              </w:rPr>
              <w:t>。</w:t>
            </w:r>
          </w:p>
        </w:tc>
      </w:tr>
      <w:tr w14:paraId="4F9DD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0B2C10CE">
            <w:pPr>
              <w:adjustRightInd w:val="0"/>
              <w:snapToGrid w:val="0"/>
              <w:spacing w:line="240" w:lineRule="auto"/>
              <w:ind w:firstLine="0" w:firstLineChars="0"/>
              <w:jc w:val="center"/>
              <w:rPr>
                <w:szCs w:val="24"/>
              </w:rPr>
            </w:pPr>
            <w:r>
              <w:rPr>
                <w:szCs w:val="24"/>
              </w:rPr>
              <w:t>20</w:t>
            </w:r>
            <w:r>
              <w:rPr>
                <w:szCs w:val="24"/>
                <w:lang w:eastAsia="zh-CN"/>
              </w:rPr>
              <w:t>2</w:t>
            </w:r>
            <w:r>
              <w:rPr>
                <w:rFonts w:hint="eastAsia"/>
                <w:szCs w:val="24"/>
                <w:lang w:val="en-US" w:eastAsia="zh-CN"/>
              </w:rPr>
              <w:t>3</w:t>
            </w:r>
            <w:r>
              <w:rPr>
                <w:szCs w:val="24"/>
              </w:rPr>
              <w:t>.</w:t>
            </w:r>
            <w:r>
              <w:rPr>
                <w:rFonts w:hint="eastAsia"/>
                <w:szCs w:val="24"/>
                <w:lang w:val="en-US" w:eastAsia="zh-CN"/>
              </w:rPr>
              <w:t>01</w:t>
            </w:r>
          </w:p>
        </w:tc>
        <w:tc>
          <w:tcPr>
            <w:tcW w:w="1071" w:type="pct"/>
            <w:vAlign w:val="center"/>
          </w:tcPr>
          <w:p w14:paraId="22AA5F7B">
            <w:pPr>
              <w:adjustRightInd w:val="0"/>
              <w:snapToGrid w:val="0"/>
              <w:spacing w:line="240" w:lineRule="auto"/>
              <w:ind w:firstLine="0" w:firstLineChars="0"/>
              <w:jc w:val="center"/>
              <w:rPr>
                <w:szCs w:val="24"/>
              </w:rPr>
            </w:pPr>
            <w:r>
              <w:rPr>
                <w:rFonts w:hint="eastAsia"/>
                <w:szCs w:val="24"/>
                <w:lang w:val="en-US" w:eastAsia="zh-CN"/>
              </w:rPr>
              <w:t>指南（征求意见稿）编制</w:t>
            </w:r>
          </w:p>
        </w:tc>
        <w:tc>
          <w:tcPr>
            <w:tcW w:w="3105" w:type="pct"/>
            <w:vAlign w:val="center"/>
          </w:tcPr>
          <w:p w14:paraId="52A4F003">
            <w:pPr>
              <w:adjustRightInd w:val="0"/>
              <w:snapToGrid w:val="0"/>
              <w:spacing w:line="240" w:lineRule="auto"/>
              <w:ind w:firstLine="0" w:firstLineChars="0"/>
              <w:rPr>
                <w:szCs w:val="24"/>
                <w:lang w:eastAsia="zh-CN"/>
              </w:rPr>
            </w:pPr>
            <w:r>
              <w:rPr>
                <w:szCs w:val="24"/>
                <w:lang w:eastAsia="zh-CN"/>
              </w:rPr>
              <w:t>根据专家意见修改文本和编制说明，形成征求意见稿。</w:t>
            </w:r>
          </w:p>
        </w:tc>
      </w:tr>
      <w:tr w14:paraId="7D151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2766A20B">
            <w:pPr>
              <w:adjustRightInd w:val="0"/>
              <w:snapToGrid w:val="0"/>
              <w:spacing w:line="240" w:lineRule="auto"/>
              <w:ind w:firstLine="0" w:firstLineChars="0"/>
              <w:jc w:val="center"/>
              <w:rPr>
                <w:rFonts w:hint="default"/>
                <w:szCs w:val="24"/>
                <w:lang w:val="en-US"/>
              </w:rPr>
            </w:pPr>
            <w:r>
              <w:rPr>
                <w:szCs w:val="24"/>
              </w:rPr>
              <w:t>20</w:t>
            </w:r>
            <w:r>
              <w:rPr>
                <w:szCs w:val="24"/>
                <w:lang w:eastAsia="zh-CN"/>
              </w:rPr>
              <w:t>2</w:t>
            </w:r>
            <w:r>
              <w:rPr>
                <w:rFonts w:hint="eastAsia"/>
                <w:szCs w:val="24"/>
                <w:lang w:val="en-US" w:eastAsia="zh-CN"/>
              </w:rPr>
              <w:t>3</w:t>
            </w:r>
            <w:r>
              <w:rPr>
                <w:szCs w:val="24"/>
              </w:rPr>
              <w:t>.</w:t>
            </w:r>
            <w:r>
              <w:rPr>
                <w:rFonts w:hint="eastAsia"/>
                <w:szCs w:val="24"/>
                <w:lang w:val="en-US" w:eastAsia="zh-CN"/>
              </w:rPr>
              <w:t>0</w:t>
            </w:r>
            <w:r>
              <w:rPr>
                <w:szCs w:val="24"/>
                <w:lang w:eastAsia="zh-CN"/>
              </w:rPr>
              <w:t>4</w:t>
            </w:r>
          </w:p>
        </w:tc>
        <w:tc>
          <w:tcPr>
            <w:tcW w:w="1071" w:type="pct"/>
            <w:vAlign w:val="center"/>
          </w:tcPr>
          <w:p w14:paraId="068DA2C0">
            <w:pPr>
              <w:adjustRightInd w:val="0"/>
              <w:snapToGrid w:val="0"/>
              <w:spacing w:line="240" w:lineRule="auto"/>
              <w:ind w:firstLine="0" w:firstLineChars="0"/>
              <w:jc w:val="center"/>
              <w:rPr>
                <w:szCs w:val="24"/>
              </w:rPr>
            </w:pPr>
            <w:r>
              <w:rPr>
                <w:szCs w:val="24"/>
              </w:rPr>
              <w:t>征求意见</w:t>
            </w:r>
          </w:p>
        </w:tc>
        <w:tc>
          <w:tcPr>
            <w:tcW w:w="3105" w:type="pct"/>
            <w:vAlign w:val="center"/>
          </w:tcPr>
          <w:p w14:paraId="563B5AF5">
            <w:pPr>
              <w:adjustRightInd w:val="0"/>
              <w:snapToGrid w:val="0"/>
              <w:spacing w:line="240" w:lineRule="auto"/>
              <w:ind w:firstLine="0" w:firstLineChars="0"/>
              <w:rPr>
                <w:szCs w:val="24"/>
                <w:lang w:eastAsia="zh-CN"/>
              </w:rPr>
            </w:pPr>
            <w:r>
              <w:rPr>
                <w:szCs w:val="24"/>
                <w:lang w:eastAsia="zh-CN"/>
              </w:rPr>
              <w:t>将</w:t>
            </w:r>
            <w:r>
              <w:rPr>
                <w:rFonts w:hint="eastAsia"/>
                <w:szCs w:val="24"/>
                <w:lang w:eastAsia="zh-CN"/>
              </w:rPr>
              <w:t>指南</w:t>
            </w:r>
            <w:r>
              <w:rPr>
                <w:szCs w:val="24"/>
                <w:lang w:eastAsia="zh-CN"/>
              </w:rPr>
              <w:t>文本和编制说明发送</w:t>
            </w:r>
            <w:r>
              <w:rPr>
                <w:rFonts w:hint="eastAsia"/>
                <w:szCs w:val="24"/>
                <w:lang w:eastAsia="zh-CN"/>
              </w:rPr>
              <w:t>生态环境部水司、</w:t>
            </w:r>
            <w:r>
              <w:rPr>
                <w:rFonts w:hint="eastAsia"/>
                <w:szCs w:val="24"/>
                <w:lang w:val="en-US" w:eastAsia="zh-CN"/>
              </w:rPr>
              <w:t>省内</w:t>
            </w:r>
            <w:r>
              <w:rPr>
                <w:szCs w:val="24"/>
                <w:lang w:eastAsia="zh-CN"/>
              </w:rPr>
              <w:t>各有关部门（省直单位、高等院校、相关专业公司等）征求意见。</w:t>
            </w:r>
          </w:p>
        </w:tc>
      </w:tr>
      <w:tr w14:paraId="6D0DA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78488C9C">
            <w:pPr>
              <w:adjustRightInd w:val="0"/>
              <w:snapToGrid w:val="0"/>
              <w:spacing w:line="240" w:lineRule="auto"/>
              <w:ind w:firstLine="0" w:firstLineChars="0"/>
              <w:jc w:val="center"/>
              <w:rPr>
                <w:rFonts w:hint="default" w:eastAsia="宋体"/>
                <w:szCs w:val="24"/>
                <w:lang w:val="en-US" w:eastAsia="zh-CN"/>
              </w:rPr>
            </w:pPr>
            <w:r>
              <w:rPr>
                <w:rFonts w:hint="eastAsia"/>
                <w:szCs w:val="24"/>
                <w:lang w:val="en-US" w:eastAsia="zh-CN"/>
              </w:rPr>
              <w:t>2024.04</w:t>
            </w:r>
          </w:p>
        </w:tc>
        <w:tc>
          <w:tcPr>
            <w:tcW w:w="1071" w:type="pct"/>
            <w:vAlign w:val="center"/>
          </w:tcPr>
          <w:p w14:paraId="368A553D">
            <w:pPr>
              <w:adjustRightInd w:val="0"/>
              <w:snapToGrid w:val="0"/>
              <w:spacing w:line="240" w:lineRule="auto"/>
              <w:ind w:firstLine="0" w:firstLineChars="0"/>
              <w:jc w:val="center"/>
              <w:rPr>
                <w:rFonts w:ascii="Times New Roman" w:hAnsi="Times New Roman" w:eastAsia="宋体" w:cs="Times New Roman"/>
                <w:sz w:val="24"/>
                <w:szCs w:val="24"/>
                <w:lang w:val="en-US" w:eastAsia="en-US" w:bidi="ar-SA"/>
              </w:rPr>
            </w:pPr>
            <w:r>
              <w:rPr>
                <w:szCs w:val="24"/>
              </w:rPr>
              <w:t>意见汇总处理</w:t>
            </w:r>
          </w:p>
        </w:tc>
        <w:tc>
          <w:tcPr>
            <w:tcW w:w="3105" w:type="pct"/>
            <w:vAlign w:val="center"/>
          </w:tcPr>
          <w:p w14:paraId="0D286637">
            <w:pPr>
              <w:adjustRightInd w:val="0"/>
              <w:snapToGrid w:val="0"/>
              <w:spacing w:line="240" w:lineRule="auto"/>
              <w:ind w:firstLine="0" w:firstLineChars="0"/>
              <w:rPr>
                <w:rFonts w:ascii="Times New Roman" w:hAnsi="Times New Roman" w:eastAsia="宋体" w:cs="Times New Roman"/>
                <w:sz w:val="24"/>
                <w:szCs w:val="24"/>
                <w:lang w:val="en-US" w:eastAsia="zh-CN" w:bidi="ar-SA"/>
              </w:rPr>
            </w:pPr>
            <w:r>
              <w:rPr>
                <w:szCs w:val="24"/>
                <w:lang w:eastAsia="zh-CN"/>
              </w:rPr>
              <w:t>对征集意见进行收集、整理、汇总和处理；组织内部讨论会，修改文本和编制说明，处理意见汇总表。</w:t>
            </w:r>
          </w:p>
        </w:tc>
      </w:tr>
      <w:tr w14:paraId="55943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08902160">
            <w:pPr>
              <w:adjustRightInd w:val="0"/>
              <w:snapToGrid w:val="0"/>
              <w:spacing w:line="240" w:lineRule="auto"/>
              <w:ind w:firstLine="0" w:firstLineChars="0"/>
              <w:jc w:val="center"/>
              <w:rPr>
                <w:szCs w:val="24"/>
                <w:lang w:eastAsia="zh-CN"/>
              </w:rPr>
            </w:pPr>
            <w:r>
              <w:rPr>
                <w:rFonts w:hint="eastAsia"/>
                <w:szCs w:val="24"/>
                <w:lang w:eastAsia="zh-CN"/>
              </w:rPr>
              <w:t>2</w:t>
            </w:r>
            <w:r>
              <w:rPr>
                <w:szCs w:val="24"/>
                <w:lang w:eastAsia="zh-CN"/>
              </w:rPr>
              <w:t>02</w:t>
            </w:r>
            <w:r>
              <w:rPr>
                <w:rFonts w:hint="eastAsia"/>
                <w:szCs w:val="24"/>
                <w:lang w:val="en-US" w:eastAsia="zh-CN"/>
              </w:rPr>
              <w:t>4</w:t>
            </w:r>
            <w:r>
              <w:rPr>
                <w:szCs w:val="24"/>
                <w:lang w:eastAsia="zh-CN"/>
              </w:rPr>
              <w:t>.</w:t>
            </w:r>
            <w:r>
              <w:rPr>
                <w:rFonts w:hint="eastAsia"/>
                <w:szCs w:val="24"/>
                <w:lang w:val="en-US" w:eastAsia="zh-CN"/>
              </w:rPr>
              <w:t>05</w:t>
            </w:r>
          </w:p>
        </w:tc>
        <w:tc>
          <w:tcPr>
            <w:tcW w:w="1071" w:type="pct"/>
            <w:vAlign w:val="center"/>
          </w:tcPr>
          <w:p w14:paraId="121879F6">
            <w:pPr>
              <w:adjustRightInd w:val="0"/>
              <w:snapToGrid w:val="0"/>
              <w:spacing w:line="240" w:lineRule="auto"/>
              <w:ind w:firstLine="0" w:firstLineChars="0"/>
              <w:jc w:val="center"/>
              <w:rPr>
                <w:szCs w:val="24"/>
              </w:rPr>
            </w:pPr>
            <w:r>
              <w:rPr>
                <w:rFonts w:hint="eastAsia"/>
                <w:szCs w:val="24"/>
                <w:lang w:eastAsia="zh-CN"/>
              </w:rPr>
              <w:t>网上公示</w:t>
            </w:r>
          </w:p>
        </w:tc>
        <w:tc>
          <w:tcPr>
            <w:tcW w:w="3105" w:type="pct"/>
            <w:vAlign w:val="center"/>
          </w:tcPr>
          <w:p w14:paraId="7BAC1D3E">
            <w:pPr>
              <w:adjustRightInd w:val="0"/>
              <w:snapToGrid w:val="0"/>
              <w:spacing w:line="240" w:lineRule="auto"/>
              <w:ind w:firstLine="0" w:firstLineChars="0"/>
              <w:rPr>
                <w:szCs w:val="24"/>
                <w:lang w:eastAsia="zh-CN"/>
              </w:rPr>
            </w:pPr>
            <w:r>
              <w:rPr>
                <w:rFonts w:hint="eastAsia"/>
                <w:szCs w:val="24"/>
                <w:lang w:eastAsia="zh-CN"/>
              </w:rPr>
              <w:t>在网站上公示一个月，充分接受群众反馈意见。</w:t>
            </w:r>
          </w:p>
        </w:tc>
      </w:tr>
      <w:tr w14:paraId="2C9C3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04495203">
            <w:pPr>
              <w:adjustRightInd w:val="0"/>
              <w:snapToGrid w:val="0"/>
              <w:spacing w:line="240" w:lineRule="auto"/>
              <w:ind w:firstLine="0" w:firstLineChars="0"/>
              <w:jc w:val="center"/>
              <w:rPr>
                <w:szCs w:val="24"/>
                <w:lang w:eastAsia="zh-CN"/>
              </w:rPr>
            </w:pPr>
            <w:r>
              <w:rPr>
                <w:rFonts w:hint="eastAsia"/>
                <w:szCs w:val="24"/>
                <w:lang w:eastAsia="zh-CN"/>
              </w:rPr>
              <w:t>2</w:t>
            </w:r>
            <w:r>
              <w:rPr>
                <w:szCs w:val="24"/>
                <w:lang w:eastAsia="zh-CN"/>
              </w:rPr>
              <w:t>02</w:t>
            </w:r>
            <w:r>
              <w:rPr>
                <w:rFonts w:hint="eastAsia"/>
                <w:szCs w:val="24"/>
                <w:lang w:val="en-US" w:eastAsia="zh-CN"/>
              </w:rPr>
              <w:t>4</w:t>
            </w:r>
            <w:r>
              <w:rPr>
                <w:szCs w:val="24"/>
                <w:lang w:eastAsia="zh-CN"/>
              </w:rPr>
              <w:t>.</w:t>
            </w:r>
            <w:r>
              <w:rPr>
                <w:rFonts w:hint="eastAsia"/>
                <w:szCs w:val="24"/>
                <w:lang w:val="en-US" w:eastAsia="zh-CN"/>
              </w:rPr>
              <w:t>08</w:t>
            </w:r>
          </w:p>
        </w:tc>
        <w:tc>
          <w:tcPr>
            <w:tcW w:w="1071" w:type="pct"/>
            <w:vAlign w:val="center"/>
          </w:tcPr>
          <w:p w14:paraId="06E8112D">
            <w:pPr>
              <w:adjustRightInd w:val="0"/>
              <w:snapToGrid w:val="0"/>
              <w:spacing w:line="240" w:lineRule="auto"/>
              <w:ind w:firstLine="0" w:firstLineChars="0"/>
              <w:jc w:val="center"/>
              <w:rPr>
                <w:szCs w:val="24"/>
                <w:lang w:eastAsia="zh-CN"/>
              </w:rPr>
            </w:pPr>
            <w:r>
              <w:rPr>
                <w:rFonts w:hint="eastAsia"/>
                <w:szCs w:val="24"/>
                <w:lang w:eastAsia="zh-CN"/>
              </w:rPr>
              <w:t>再次</w:t>
            </w:r>
            <w:r>
              <w:rPr>
                <w:szCs w:val="24"/>
              </w:rPr>
              <w:t>征求</w:t>
            </w:r>
            <w:r>
              <w:rPr>
                <w:rFonts w:hint="eastAsia"/>
                <w:szCs w:val="24"/>
                <w:lang w:val="en-US" w:eastAsia="zh-CN"/>
              </w:rPr>
              <w:t>厅系统</w:t>
            </w:r>
            <w:r>
              <w:rPr>
                <w:szCs w:val="24"/>
              </w:rPr>
              <w:t>意见</w:t>
            </w:r>
          </w:p>
        </w:tc>
        <w:tc>
          <w:tcPr>
            <w:tcW w:w="3105" w:type="pct"/>
            <w:vAlign w:val="center"/>
          </w:tcPr>
          <w:p w14:paraId="5EEEBBC7">
            <w:pPr>
              <w:adjustRightInd w:val="0"/>
              <w:snapToGrid w:val="0"/>
              <w:spacing w:line="240" w:lineRule="auto"/>
              <w:ind w:firstLine="0" w:firstLineChars="0"/>
              <w:rPr>
                <w:rFonts w:hint="default"/>
                <w:szCs w:val="24"/>
                <w:lang w:val="en-US" w:eastAsia="zh-CN"/>
              </w:rPr>
            </w:pPr>
            <w:r>
              <w:rPr>
                <w:szCs w:val="24"/>
                <w:lang w:eastAsia="zh-CN"/>
              </w:rPr>
              <w:t>将</w:t>
            </w:r>
            <w:r>
              <w:rPr>
                <w:rFonts w:hint="eastAsia"/>
                <w:szCs w:val="24"/>
                <w:lang w:eastAsia="zh-CN"/>
              </w:rPr>
              <w:t>指南</w:t>
            </w:r>
            <w:r>
              <w:rPr>
                <w:szCs w:val="24"/>
                <w:lang w:eastAsia="zh-CN"/>
              </w:rPr>
              <w:t>文本和编制说明</w:t>
            </w:r>
            <w:r>
              <w:rPr>
                <w:rFonts w:hint="eastAsia"/>
                <w:szCs w:val="24"/>
                <w:lang w:eastAsia="zh-CN"/>
              </w:rPr>
              <w:t>再次</w:t>
            </w:r>
            <w:r>
              <w:rPr>
                <w:szCs w:val="24"/>
                <w:lang w:eastAsia="zh-CN"/>
              </w:rPr>
              <w:t>发送</w:t>
            </w:r>
            <w:r>
              <w:rPr>
                <w:rFonts w:hint="eastAsia"/>
                <w:szCs w:val="24"/>
                <w:lang w:val="en-US" w:eastAsia="zh-CN"/>
              </w:rPr>
              <w:t>厅机关相关处室</w:t>
            </w:r>
            <w:r>
              <w:rPr>
                <w:szCs w:val="24"/>
                <w:lang w:eastAsia="zh-CN"/>
              </w:rPr>
              <w:t>征求意见</w:t>
            </w:r>
            <w:r>
              <w:rPr>
                <w:rFonts w:hint="eastAsia"/>
                <w:szCs w:val="24"/>
                <w:lang w:eastAsia="zh-CN"/>
              </w:rPr>
              <w:t>，</w:t>
            </w:r>
            <w:r>
              <w:rPr>
                <w:rFonts w:hint="eastAsia"/>
                <w:szCs w:val="24"/>
                <w:lang w:val="en-US" w:eastAsia="zh-CN"/>
              </w:rPr>
              <w:t>并完成修改稿。</w:t>
            </w:r>
          </w:p>
        </w:tc>
      </w:tr>
      <w:tr w14:paraId="3564E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3ACF21F8">
            <w:pPr>
              <w:adjustRightInd w:val="0"/>
              <w:snapToGrid w:val="0"/>
              <w:spacing w:line="240" w:lineRule="auto"/>
              <w:ind w:firstLine="0" w:firstLineChars="0"/>
              <w:jc w:val="center"/>
              <w:rPr>
                <w:rFonts w:hint="default"/>
                <w:szCs w:val="24"/>
                <w:lang w:val="en-US" w:eastAsia="zh-CN"/>
              </w:rPr>
            </w:pPr>
            <w:r>
              <w:rPr>
                <w:rFonts w:hint="eastAsia"/>
                <w:szCs w:val="24"/>
                <w:lang w:val="en-US" w:eastAsia="zh-CN"/>
              </w:rPr>
              <w:t>2024.09</w:t>
            </w:r>
          </w:p>
        </w:tc>
        <w:tc>
          <w:tcPr>
            <w:tcW w:w="1071" w:type="pct"/>
            <w:vAlign w:val="center"/>
          </w:tcPr>
          <w:p w14:paraId="32321015">
            <w:pPr>
              <w:adjustRightInd w:val="0"/>
              <w:snapToGrid w:val="0"/>
              <w:spacing w:line="240" w:lineRule="auto"/>
              <w:ind w:firstLine="0" w:firstLineChars="0"/>
              <w:jc w:val="center"/>
              <w:rPr>
                <w:rFonts w:hint="default"/>
                <w:szCs w:val="24"/>
                <w:lang w:val="en-US" w:eastAsia="zh-CN"/>
              </w:rPr>
            </w:pPr>
            <w:r>
              <w:rPr>
                <w:rFonts w:hint="eastAsia"/>
                <w:szCs w:val="24"/>
                <w:lang w:eastAsia="zh-CN"/>
              </w:rPr>
              <w:t>再次</w:t>
            </w:r>
            <w:r>
              <w:rPr>
                <w:szCs w:val="24"/>
              </w:rPr>
              <w:t>征求</w:t>
            </w:r>
            <w:r>
              <w:rPr>
                <w:rFonts w:hint="eastAsia"/>
                <w:szCs w:val="24"/>
                <w:lang w:val="en-US" w:eastAsia="zh-CN"/>
              </w:rPr>
              <w:t>部水司意见</w:t>
            </w:r>
          </w:p>
        </w:tc>
        <w:tc>
          <w:tcPr>
            <w:tcW w:w="3105" w:type="pct"/>
            <w:vAlign w:val="center"/>
          </w:tcPr>
          <w:p w14:paraId="4148C5C0">
            <w:pPr>
              <w:adjustRightInd w:val="0"/>
              <w:snapToGrid w:val="0"/>
              <w:spacing w:line="240" w:lineRule="auto"/>
              <w:ind w:firstLine="0" w:firstLineChars="0"/>
              <w:rPr>
                <w:szCs w:val="24"/>
                <w:lang w:eastAsia="zh-CN"/>
              </w:rPr>
            </w:pPr>
            <w:r>
              <w:rPr>
                <w:szCs w:val="24"/>
                <w:lang w:eastAsia="zh-CN"/>
              </w:rPr>
              <w:t>将</w:t>
            </w:r>
            <w:r>
              <w:rPr>
                <w:rFonts w:hint="eastAsia"/>
                <w:szCs w:val="24"/>
                <w:lang w:eastAsia="zh-CN"/>
              </w:rPr>
              <w:t>指南</w:t>
            </w:r>
            <w:r>
              <w:rPr>
                <w:szCs w:val="24"/>
                <w:lang w:eastAsia="zh-CN"/>
              </w:rPr>
              <w:t>文本和编制说明</w:t>
            </w:r>
            <w:r>
              <w:rPr>
                <w:rFonts w:hint="eastAsia"/>
                <w:szCs w:val="24"/>
                <w:lang w:eastAsia="zh-CN"/>
              </w:rPr>
              <w:t>再次</w:t>
            </w:r>
            <w:r>
              <w:rPr>
                <w:szCs w:val="24"/>
                <w:lang w:eastAsia="zh-CN"/>
              </w:rPr>
              <w:t>发送</w:t>
            </w:r>
            <w:r>
              <w:rPr>
                <w:rFonts w:hint="eastAsia"/>
                <w:szCs w:val="24"/>
                <w:lang w:val="en-US" w:eastAsia="zh-CN"/>
              </w:rPr>
              <w:t>部水司</w:t>
            </w:r>
            <w:r>
              <w:rPr>
                <w:szCs w:val="24"/>
                <w:lang w:eastAsia="zh-CN"/>
              </w:rPr>
              <w:t>征求意见</w:t>
            </w:r>
            <w:r>
              <w:rPr>
                <w:rFonts w:hint="eastAsia"/>
                <w:szCs w:val="24"/>
                <w:lang w:eastAsia="zh-CN"/>
              </w:rPr>
              <w:t>，</w:t>
            </w:r>
            <w:r>
              <w:rPr>
                <w:rFonts w:hint="eastAsia"/>
                <w:szCs w:val="24"/>
                <w:lang w:val="en-US" w:eastAsia="zh-CN"/>
              </w:rPr>
              <w:t>并完成修改稿。</w:t>
            </w:r>
          </w:p>
        </w:tc>
      </w:tr>
      <w:tr w14:paraId="391D5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681CD885">
            <w:pPr>
              <w:adjustRightInd w:val="0"/>
              <w:snapToGrid w:val="0"/>
              <w:spacing w:line="240" w:lineRule="auto"/>
              <w:ind w:firstLine="0" w:firstLineChars="0"/>
              <w:jc w:val="center"/>
              <w:rPr>
                <w:rFonts w:hint="default" w:eastAsia="宋体"/>
                <w:szCs w:val="24"/>
                <w:lang w:val="en-US" w:eastAsia="zh-CN"/>
              </w:rPr>
            </w:pPr>
            <w:r>
              <w:rPr>
                <w:szCs w:val="24"/>
              </w:rPr>
              <w:t>20</w:t>
            </w:r>
            <w:r>
              <w:rPr>
                <w:szCs w:val="24"/>
                <w:lang w:eastAsia="zh-CN"/>
              </w:rPr>
              <w:t>2</w:t>
            </w:r>
            <w:r>
              <w:rPr>
                <w:rFonts w:hint="eastAsia"/>
                <w:szCs w:val="24"/>
                <w:lang w:val="en-US" w:eastAsia="zh-CN"/>
              </w:rPr>
              <w:t>4</w:t>
            </w:r>
            <w:r>
              <w:rPr>
                <w:szCs w:val="24"/>
              </w:rPr>
              <w:t>.</w:t>
            </w:r>
            <w:r>
              <w:rPr>
                <w:rFonts w:hint="eastAsia"/>
                <w:szCs w:val="24"/>
                <w:lang w:val="en-US" w:eastAsia="zh-CN"/>
              </w:rPr>
              <w:t>10</w:t>
            </w:r>
          </w:p>
        </w:tc>
        <w:tc>
          <w:tcPr>
            <w:tcW w:w="1071" w:type="pct"/>
            <w:vAlign w:val="center"/>
          </w:tcPr>
          <w:p w14:paraId="24FB9F88">
            <w:pPr>
              <w:adjustRightInd w:val="0"/>
              <w:snapToGrid w:val="0"/>
              <w:spacing w:line="240" w:lineRule="auto"/>
              <w:ind w:firstLine="0" w:firstLineChars="0"/>
              <w:jc w:val="center"/>
              <w:rPr>
                <w:szCs w:val="24"/>
              </w:rPr>
            </w:pPr>
            <w:r>
              <w:rPr>
                <w:szCs w:val="24"/>
                <w:lang w:eastAsia="zh-CN"/>
              </w:rPr>
              <w:t>报审</w:t>
            </w:r>
          </w:p>
        </w:tc>
        <w:tc>
          <w:tcPr>
            <w:tcW w:w="3105" w:type="pct"/>
            <w:vAlign w:val="center"/>
          </w:tcPr>
          <w:p w14:paraId="090E55AC">
            <w:pPr>
              <w:adjustRightInd w:val="0"/>
              <w:snapToGrid w:val="0"/>
              <w:spacing w:line="240" w:lineRule="auto"/>
              <w:ind w:firstLine="0" w:firstLineChars="0"/>
              <w:rPr>
                <w:szCs w:val="24"/>
                <w:lang w:eastAsia="zh-CN"/>
              </w:rPr>
            </w:pPr>
            <w:r>
              <w:rPr>
                <w:szCs w:val="24"/>
                <w:lang w:eastAsia="zh-CN"/>
              </w:rPr>
              <w:t>提交标准报审稿、编制说明报审稿及意见汇总处理表。</w:t>
            </w:r>
          </w:p>
        </w:tc>
      </w:tr>
    </w:tbl>
    <w:p w14:paraId="5AF09D9D">
      <w:pPr>
        <w:pStyle w:val="2"/>
        <w:numPr>
          <w:ilvl w:val="0"/>
          <w:numId w:val="0"/>
        </w:numPr>
        <w:bidi w:val="0"/>
        <w:ind w:left="0" w:leftChars="0" w:firstLine="0" w:firstLineChars="0"/>
        <w:rPr>
          <w:rFonts w:hint="eastAsia" w:ascii="Times New Roman" w:hAnsi="Times New Roman" w:cs="Times New Roman"/>
          <w:lang w:eastAsia="zh-CN"/>
        </w:rPr>
      </w:pPr>
      <w:bookmarkStart w:id="40" w:name="_Toc11308"/>
      <w:r>
        <w:rPr>
          <w:rFonts w:hint="eastAsia" w:ascii="Times New Roman" w:hAnsi="Times New Roman" w:eastAsia="黑体" w:cs="Times New Roman"/>
          <w:sz w:val="32"/>
          <w:szCs w:val="28"/>
          <w:lang w:val="en-US" w:eastAsia="zh-CN" w:bidi="ar-SA"/>
        </w:rPr>
        <w:t>五、</w:t>
      </w:r>
      <w:r>
        <w:rPr>
          <w:rFonts w:hint="eastAsia" w:ascii="Times New Roman" w:hAnsi="Times New Roman" w:cs="Times New Roman"/>
          <w:lang w:eastAsia="zh-CN"/>
        </w:rPr>
        <w:t>主要技术内容</w:t>
      </w:r>
      <w:bookmarkEnd w:id="40"/>
    </w:p>
    <w:p w14:paraId="23547155">
      <w:pPr>
        <w:pStyle w:val="3"/>
        <w:keepNext w:val="0"/>
        <w:keepLines w:val="0"/>
        <w:numPr>
          <w:ilvl w:val="1"/>
          <w:numId w:val="0"/>
        </w:numPr>
        <w:adjustRightInd w:val="0"/>
        <w:snapToGrid w:val="0"/>
        <w:spacing w:before="0" w:beforeLines="0" w:after="0" w:afterLines="0" w:line="360" w:lineRule="auto"/>
        <w:ind w:left="0" w:leftChars="0" w:firstLine="0" w:firstLineChars="0"/>
        <w:rPr>
          <w:sz w:val="28"/>
          <w:szCs w:val="24"/>
        </w:rPr>
      </w:pPr>
      <w:bookmarkStart w:id="41" w:name="_Toc20058647"/>
      <w:bookmarkStart w:id="42" w:name="_Toc11693"/>
      <w:bookmarkStart w:id="43" w:name="_Hlk95470133"/>
      <w:r>
        <w:rPr>
          <w:rFonts w:hint="eastAsia"/>
          <w:sz w:val="28"/>
          <w:szCs w:val="24"/>
          <w:lang w:val="en-US" w:eastAsia="zh-CN"/>
        </w:rPr>
        <w:t>5.1</w:t>
      </w:r>
      <w:r>
        <w:rPr>
          <w:sz w:val="28"/>
          <w:szCs w:val="24"/>
        </w:rPr>
        <w:t>标准框架</w:t>
      </w:r>
      <w:bookmarkEnd w:id="41"/>
      <w:r>
        <w:rPr>
          <w:sz w:val="28"/>
          <w:szCs w:val="24"/>
        </w:rPr>
        <w:t>结构</w:t>
      </w:r>
      <w:bookmarkEnd w:id="42"/>
    </w:p>
    <w:bookmarkEnd w:id="43"/>
    <w:p w14:paraId="6A170A8E">
      <w:pPr>
        <w:adjustRightInd w:val="0"/>
        <w:snapToGrid w:val="0"/>
        <w:spacing w:line="360" w:lineRule="auto"/>
        <w:ind w:firstLine="560"/>
        <w:rPr>
          <w:sz w:val="28"/>
          <w:szCs w:val="24"/>
          <w:lang w:eastAsia="zh-CN"/>
        </w:rPr>
      </w:pPr>
      <w:r>
        <w:rPr>
          <w:sz w:val="28"/>
          <w:szCs w:val="24"/>
          <w:lang w:eastAsia="zh-CN"/>
        </w:rPr>
        <w:t>本</w:t>
      </w:r>
      <w:r>
        <w:rPr>
          <w:rFonts w:hint="eastAsia"/>
          <w:sz w:val="28"/>
          <w:szCs w:val="24"/>
          <w:lang w:eastAsia="zh-CN"/>
        </w:rPr>
        <w:t>系列指南</w:t>
      </w:r>
      <w:r>
        <w:rPr>
          <w:sz w:val="28"/>
          <w:szCs w:val="24"/>
          <w:lang w:eastAsia="zh-CN"/>
        </w:rPr>
        <w:t>结构按照《标准化工作导则 第1部分：标准化文件的结构和起草规则》（GB/T 1.1）的要求进行编排，</w:t>
      </w:r>
      <w:r>
        <w:rPr>
          <w:rFonts w:hint="eastAsia"/>
          <w:sz w:val="28"/>
          <w:szCs w:val="24"/>
          <w:lang w:eastAsia="zh-CN"/>
        </w:rPr>
        <w:t>指南</w:t>
      </w:r>
      <w:r>
        <w:rPr>
          <w:sz w:val="28"/>
          <w:szCs w:val="24"/>
          <w:lang w:eastAsia="zh-CN"/>
        </w:rPr>
        <w:t>规定了</w:t>
      </w:r>
      <w:r>
        <w:rPr>
          <w:rFonts w:hint="eastAsia"/>
          <w:sz w:val="28"/>
          <w:szCs w:val="24"/>
          <w:lang w:eastAsia="zh-CN"/>
        </w:rPr>
        <w:t>湖库水生态修复中水生生物修复技术的选择，主要包括</w:t>
      </w:r>
      <w:r>
        <w:rPr>
          <w:sz w:val="28"/>
          <w:szCs w:val="24"/>
          <w:lang w:eastAsia="zh-CN"/>
        </w:rPr>
        <w:t>范围、规范性引用文件、术语和定义</w:t>
      </w:r>
      <w:r>
        <w:rPr>
          <w:rFonts w:hint="eastAsia"/>
          <w:sz w:val="28"/>
          <w:szCs w:val="24"/>
          <w:lang w:eastAsia="zh-CN"/>
        </w:rPr>
        <w:t>、一般要求以及生态湿地、人工浮岛、生物操纵微生物吸附剂等技术的适用范围、技术特点、技术方法和限制因素、技术比选和附录等部分。</w:t>
      </w:r>
    </w:p>
    <w:p w14:paraId="409BA48C">
      <w:pPr>
        <w:adjustRightInd w:val="0"/>
        <w:snapToGrid w:val="0"/>
        <w:spacing w:line="360" w:lineRule="auto"/>
        <w:ind w:firstLine="560"/>
        <w:rPr>
          <w:sz w:val="28"/>
          <w:szCs w:val="24"/>
          <w:lang w:eastAsia="zh-CN"/>
        </w:rPr>
      </w:pPr>
      <w:r>
        <w:rPr>
          <w:sz w:val="28"/>
          <w:szCs w:val="24"/>
          <w:lang w:eastAsia="zh-CN"/>
        </w:rPr>
        <w:t xml:space="preserve">1. 范围：对文件的主题内容与适用范围进行说明。 </w:t>
      </w:r>
    </w:p>
    <w:p w14:paraId="16FED01C">
      <w:pPr>
        <w:adjustRightInd w:val="0"/>
        <w:snapToGrid w:val="0"/>
        <w:spacing w:line="360" w:lineRule="auto"/>
        <w:ind w:firstLine="560"/>
        <w:rPr>
          <w:sz w:val="28"/>
          <w:szCs w:val="24"/>
          <w:lang w:eastAsia="zh-CN"/>
        </w:rPr>
      </w:pPr>
      <w:r>
        <w:rPr>
          <w:sz w:val="28"/>
          <w:szCs w:val="24"/>
          <w:lang w:eastAsia="zh-CN"/>
        </w:rPr>
        <w:t xml:space="preserve">2. 规范性引用文件：对文件中引用的标准、规范等进行说明。 </w:t>
      </w:r>
    </w:p>
    <w:p w14:paraId="439479C0">
      <w:pPr>
        <w:adjustRightInd w:val="0"/>
        <w:snapToGrid w:val="0"/>
        <w:spacing w:line="360" w:lineRule="auto"/>
        <w:ind w:firstLine="560"/>
        <w:rPr>
          <w:sz w:val="28"/>
          <w:szCs w:val="24"/>
          <w:lang w:eastAsia="zh-CN"/>
        </w:rPr>
      </w:pPr>
      <w:r>
        <w:rPr>
          <w:sz w:val="28"/>
          <w:szCs w:val="24"/>
          <w:lang w:eastAsia="zh-CN"/>
        </w:rPr>
        <w:t>3. 术语与定义：对文件中关键词语的解释。</w:t>
      </w:r>
    </w:p>
    <w:p w14:paraId="4DC7FC38">
      <w:pPr>
        <w:adjustRightInd w:val="0"/>
        <w:snapToGrid w:val="0"/>
        <w:spacing w:line="360" w:lineRule="auto"/>
        <w:ind w:firstLine="560"/>
        <w:rPr>
          <w:sz w:val="28"/>
          <w:szCs w:val="24"/>
          <w:lang w:eastAsia="zh-CN"/>
        </w:rPr>
      </w:pPr>
      <w:r>
        <w:rPr>
          <w:rFonts w:hint="eastAsia"/>
          <w:sz w:val="28"/>
          <w:szCs w:val="24"/>
          <w:lang w:eastAsia="zh-CN"/>
        </w:rPr>
        <w:t>4</w:t>
      </w:r>
      <w:r>
        <w:rPr>
          <w:sz w:val="28"/>
          <w:szCs w:val="24"/>
          <w:lang w:eastAsia="zh-CN"/>
        </w:rPr>
        <w:t xml:space="preserve">. </w:t>
      </w:r>
      <w:r>
        <w:rPr>
          <w:rFonts w:hint="eastAsia"/>
          <w:sz w:val="28"/>
          <w:szCs w:val="24"/>
          <w:lang w:eastAsia="zh-CN"/>
        </w:rPr>
        <w:t>一般要求：对湖库水生生物修复遵循原则和技术选择条件进行说明。</w:t>
      </w:r>
    </w:p>
    <w:p w14:paraId="03D7661A">
      <w:pPr>
        <w:adjustRightInd w:val="0"/>
        <w:snapToGrid w:val="0"/>
        <w:spacing w:line="360" w:lineRule="auto"/>
        <w:ind w:firstLine="560"/>
        <w:rPr>
          <w:sz w:val="28"/>
          <w:szCs w:val="24"/>
          <w:lang w:eastAsia="zh-CN"/>
        </w:rPr>
      </w:pPr>
      <w:r>
        <w:rPr>
          <w:sz w:val="28"/>
          <w:szCs w:val="24"/>
          <w:lang w:eastAsia="zh-CN"/>
        </w:rPr>
        <w:t xml:space="preserve">5. </w:t>
      </w:r>
      <w:r>
        <w:rPr>
          <w:rFonts w:hint="eastAsia"/>
          <w:sz w:val="28"/>
          <w:szCs w:val="24"/>
          <w:lang w:eastAsia="zh-CN"/>
        </w:rPr>
        <w:t>生态湿地</w:t>
      </w:r>
      <w:r>
        <w:rPr>
          <w:sz w:val="28"/>
          <w:szCs w:val="24"/>
          <w:lang w:eastAsia="zh-CN"/>
        </w:rPr>
        <w:t>：对</w:t>
      </w:r>
      <w:r>
        <w:rPr>
          <w:rFonts w:hint="eastAsia"/>
          <w:sz w:val="28"/>
          <w:szCs w:val="24"/>
          <w:lang w:eastAsia="zh-CN"/>
        </w:rPr>
        <w:t>生态湿地适用范围、技术要点、技术方法和限制因素</w:t>
      </w:r>
      <w:r>
        <w:rPr>
          <w:sz w:val="28"/>
          <w:szCs w:val="24"/>
          <w:lang w:eastAsia="zh-CN"/>
        </w:rPr>
        <w:t>进行了相关说明。</w:t>
      </w:r>
    </w:p>
    <w:p w14:paraId="4FD1F7B2">
      <w:pPr>
        <w:adjustRightInd w:val="0"/>
        <w:snapToGrid w:val="0"/>
        <w:spacing w:line="360" w:lineRule="auto"/>
        <w:ind w:firstLine="560"/>
        <w:rPr>
          <w:sz w:val="28"/>
          <w:szCs w:val="24"/>
          <w:lang w:eastAsia="zh-CN"/>
        </w:rPr>
      </w:pPr>
      <w:r>
        <w:rPr>
          <w:sz w:val="28"/>
          <w:szCs w:val="24"/>
          <w:lang w:eastAsia="zh-CN"/>
        </w:rPr>
        <w:t xml:space="preserve">6. </w:t>
      </w:r>
      <w:r>
        <w:rPr>
          <w:rFonts w:hint="eastAsia"/>
          <w:sz w:val="28"/>
          <w:szCs w:val="24"/>
          <w:lang w:eastAsia="zh-CN"/>
        </w:rPr>
        <w:t>人工浮岛</w:t>
      </w:r>
      <w:r>
        <w:rPr>
          <w:sz w:val="28"/>
          <w:szCs w:val="24"/>
          <w:lang w:eastAsia="zh-CN"/>
        </w:rPr>
        <w:t>：对</w:t>
      </w:r>
      <w:r>
        <w:rPr>
          <w:rFonts w:hint="eastAsia"/>
          <w:sz w:val="28"/>
          <w:szCs w:val="24"/>
          <w:lang w:eastAsia="zh-CN"/>
        </w:rPr>
        <w:t>人工浮岛适用范围、技术要点、技术方法和限制因素</w:t>
      </w:r>
      <w:r>
        <w:rPr>
          <w:sz w:val="28"/>
          <w:szCs w:val="24"/>
          <w:lang w:eastAsia="zh-CN"/>
        </w:rPr>
        <w:t>进行了相关说明。</w:t>
      </w:r>
    </w:p>
    <w:p w14:paraId="64AC11B8">
      <w:pPr>
        <w:adjustRightInd w:val="0"/>
        <w:snapToGrid w:val="0"/>
        <w:spacing w:line="360" w:lineRule="auto"/>
        <w:ind w:firstLine="560"/>
        <w:rPr>
          <w:sz w:val="28"/>
          <w:szCs w:val="24"/>
          <w:lang w:eastAsia="zh-CN"/>
        </w:rPr>
      </w:pPr>
      <w:r>
        <w:rPr>
          <w:sz w:val="28"/>
          <w:szCs w:val="24"/>
          <w:lang w:eastAsia="zh-CN"/>
        </w:rPr>
        <w:t xml:space="preserve">7. </w:t>
      </w:r>
      <w:r>
        <w:rPr>
          <w:rFonts w:hint="eastAsia"/>
          <w:sz w:val="28"/>
          <w:szCs w:val="24"/>
          <w:lang w:eastAsia="zh-CN"/>
        </w:rPr>
        <w:t>生物操纵</w:t>
      </w:r>
      <w:r>
        <w:rPr>
          <w:sz w:val="28"/>
          <w:szCs w:val="24"/>
          <w:lang w:eastAsia="zh-CN"/>
        </w:rPr>
        <w:t>：对</w:t>
      </w:r>
      <w:r>
        <w:rPr>
          <w:rFonts w:hint="eastAsia"/>
          <w:sz w:val="28"/>
          <w:szCs w:val="24"/>
          <w:lang w:eastAsia="zh-CN"/>
        </w:rPr>
        <w:t>生物操纵适用范围、技术要点、技术方法和限制因素</w:t>
      </w:r>
      <w:r>
        <w:rPr>
          <w:sz w:val="28"/>
          <w:szCs w:val="24"/>
          <w:lang w:eastAsia="zh-CN"/>
        </w:rPr>
        <w:t>进行了相关说明。</w:t>
      </w:r>
    </w:p>
    <w:p w14:paraId="1C63EC29">
      <w:pPr>
        <w:adjustRightInd w:val="0"/>
        <w:snapToGrid w:val="0"/>
        <w:spacing w:line="360" w:lineRule="auto"/>
        <w:ind w:firstLine="560"/>
        <w:rPr>
          <w:sz w:val="28"/>
          <w:szCs w:val="24"/>
          <w:lang w:eastAsia="zh-CN"/>
        </w:rPr>
      </w:pPr>
      <w:r>
        <w:rPr>
          <w:sz w:val="28"/>
          <w:szCs w:val="24"/>
          <w:lang w:eastAsia="zh-CN"/>
        </w:rPr>
        <w:t xml:space="preserve">8. </w:t>
      </w:r>
      <w:r>
        <w:rPr>
          <w:rFonts w:hint="eastAsia"/>
          <w:sz w:val="28"/>
          <w:szCs w:val="24"/>
          <w:lang w:eastAsia="zh-CN"/>
        </w:rPr>
        <w:t>微生物吸附剂</w:t>
      </w:r>
      <w:r>
        <w:rPr>
          <w:sz w:val="28"/>
          <w:szCs w:val="24"/>
          <w:lang w:eastAsia="zh-CN"/>
        </w:rPr>
        <w:t>：对</w:t>
      </w:r>
      <w:r>
        <w:rPr>
          <w:rFonts w:hint="eastAsia"/>
          <w:sz w:val="28"/>
          <w:szCs w:val="24"/>
          <w:lang w:eastAsia="zh-CN"/>
        </w:rPr>
        <w:t>微生物吸附剂适用范围、技术要点、技术方法和限制因素</w:t>
      </w:r>
      <w:r>
        <w:rPr>
          <w:sz w:val="28"/>
          <w:szCs w:val="24"/>
          <w:lang w:eastAsia="zh-CN"/>
        </w:rPr>
        <w:t>进行了相关说明。</w:t>
      </w:r>
    </w:p>
    <w:p w14:paraId="5375D927">
      <w:pPr>
        <w:adjustRightInd w:val="0"/>
        <w:snapToGrid w:val="0"/>
        <w:spacing w:line="360" w:lineRule="auto"/>
        <w:ind w:firstLine="560"/>
        <w:rPr>
          <w:sz w:val="28"/>
          <w:szCs w:val="24"/>
          <w:lang w:eastAsia="zh-CN"/>
        </w:rPr>
      </w:pPr>
      <w:r>
        <w:rPr>
          <w:sz w:val="28"/>
          <w:szCs w:val="24"/>
          <w:lang w:eastAsia="zh-CN"/>
        </w:rPr>
        <w:t xml:space="preserve">9. </w:t>
      </w:r>
      <w:r>
        <w:rPr>
          <w:rFonts w:hint="eastAsia"/>
          <w:sz w:val="28"/>
          <w:szCs w:val="24"/>
          <w:lang w:eastAsia="zh-CN"/>
        </w:rPr>
        <w:t>技术比选：对各技术适用条件、技术特征、作用机制、应用难度和技术造价进行了比较。</w:t>
      </w:r>
    </w:p>
    <w:p w14:paraId="553A86CC">
      <w:pPr>
        <w:adjustRightInd w:val="0"/>
        <w:snapToGrid w:val="0"/>
        <w:spacing w:line="360" w:lineRule="auto"/>
        <w:ind w:firstLine="560"/>
        <w:rPr>
          <w:sz w:val="28"/>
          <w:szCs w:val="24"/>
          <w:lang w:eastAsia="zh-CN"/>
        </w:rPr>
      </w:pPr>
      <w:r>
        <w:rPr>
          <w:rFonts w:hint="eastAsia"/>
          <w:sz w:val="28"/>
          <w:szCs w:val="24"/>
          <w:lang w:eastAsia="zh-CN"/>
        </w:rPr>
        <w:t>1</w:t>
      </w:r>
      <w:r>
        <w:rPr>
          <w:sz w:val="28"/>
          <w:szCs w:val="24"/>
          <w:lang w:eastAsia="zh-CN"/>
        </w:rPr>
        <w:t xml:space="preserve">0. </w:t>
      </w:r>
      <w:r>
        <w:rPr>
          <w:rFonts w:hint="eastAsia"/>
          <w:sz w:val="28"/>
          <w:szCs w:val="24"/>
          <w:lang w:eastAsia="zh-CN"/>
        </w:rPr>
        <w:t>附录：附表说明了常用水生植物先锋恢复种及其适应性特征、不同生活型水生植物物种组合及其优化推荐方案、常见水生植物氮、磷去除效率和常见水生植物工程种的生活史周期养护要点等内容。</w:t>
      </w:r>
    </w:p>
    <w:p w14:paraId="0D3B19AA">
      <w:pPr>
        <w:pStyle w:val="3"/>
        <w:numPr>
          <w:ilvl w:val="1"/>
          <w:numId w:val="0"/>
        </w:numPr>
        <w:bidi w:val="0"/>
        <w:ind w:left="0" w:leftChars="0" w:firstLine="0" w:firstLineChars="0"/>
      </w:pPr>
      <w:bookmarkStart w:id="44" w:name="_Toc514764256"/>
      <w:bookmarkEnd w:id="44"/>
      <w:bookmarkStart w:id="45" w:name="_Toc512268712"/>
      <w:bookmarkEnd w:id="45"/>
      <w:bookmarkStart w:id="46" w:name="_Toc18804"/>
      <w:bookmarkStart w:id="47" w:name="_Toc511396518"/>
      <w:bookmarkStart w:id="48" w:name="_Toc511507560"/>
      <w:r>
        <w:rPr>
          <w:rFonts w:hint="eastAsia" w:ascii="Times New Roman" w:hAnsi="Times New Roman" w:cs="Times New Roman"/>
          <w:sz w:val="28"/>
          <w:szCs w:val="21"/>
          <w:lang w:val="en-US" w:eastAsia="zh-CN" w:bidi="ar-SA"/>
        </w:rPr>
        <w:t>5.2</w:t>
      </w:r>
      <w:r>
        <w:t>条文说明</w:t>
      </w:r>
      <w:bookmarkEnd w:id="46"/>
    </w:p>
    <w:p w14:paraId="70F773E5">
      <w:pPr>
        <w:pStyle w:val="4"/>
        <w:numPr>
          <w:ilvl w:val="2"/>
          <w:numId w:val="0"/>
        </w:numPr>
        <w:bidi w:val="0"/>
        <w:ind w:left="0" w:leftChars="0" w:firstLine="0" w:firstLineChars="0"/>
        <w:rPr>
          <w:rFonts w:ascii="Times New Roman" w:hAnsi="Times New Roman" w:eastAsia="宋体" w:cs="Times New Roman"/>
        </w:rPr>
      </w:pPr>
      <w:bookmarkStart w:id="49" w:name="_Toc523383853"/>
      <w:bookmarkStart w:id="50" w:name="_Toc532895630"/>
      <w:bookmarkStart w:id="51" w:name="_Toc22381"/>
      <w:bookmarkStart w:id="52" w:name="_Toc523476278"/>
      <w:bookmarkStart w:id="53" w:name="_Toc527835665"/>
      <w:bookmarkStart w:id="54" w:name="_Toc530065545"/>
      <w:r>
        <w:rPr>
          <w:rFonts w:hint="eastAsia" w:cs="Times New Roman"/>
          <w:sz w:val="24"/>
          <w:szCs w:val="24"/>
          <w:lang w:val="en-US" w:eastAsia="zh-CN" w:bidi="ar-SA"/>
        </w:rPr>
        <w:t>5.2.</w:t>
      </w:r>
      <w:r>
        <w:rPr>
          <w:rFonts w:hint="default" w:ascii="Times New Roman" w:hAnsi="Times New Roman" w:eastAsia="宋体" w:cs="Times New Roman"/>
          <w:sz w:val="24"/>
          <w:szCs w:val="24"/>
          <w:lang w:val="en-US" w:eastAsia="zh-CN" w:bidi="ar-SA"/>
        </w:rPr>
        <w:t>1</w:t>
      </w:r>
      <w:r>
        <w:rPr>
          <w:rFonts w:ascii="Times New Roman" w:hAnsi="Times New Roman" w:eastAsia="宋体" w:cs="Times New Roman"/>
        </w:rPr>
        <w:t>范围</w:t>
      </w:r>
      <w:bookmarkEnd w:id="49"/>
      <w:bookmarkEnd w:id="50"/>
      <w:bookmarkEnd w:id="51"/>
      <w:bookmarkEnd w:id="52"/>
      <w:bookmarkEnd w:id="53"/>
      <w:bookmarkEnd w:id="54"/>
    </w:p>
    <w:p w14:paraId="7378B5E5">
      <w:pPr>
        <w:pStyle w:val="44"/>
        <w:widowControl w:val="0"/>
        <w:adjustRightInd w:val="0"/>
        <w:snapToGrid w:val="0"/>
        <w:spacing w:line="360" w:lineRule="auto"/>
        <w:ind w:firstLine="560"/>
        <w:rPr>
          <w:rFonts w:ascii="Times New Roman"/>
          <w:sz w:val="28"/>
          <w:szCs w:val="32"/>
        </w:rPr>
      </w:pPr>
      <w:r>
        <w:rPr>
          <w:rFonts w:hint="eastAsia" w:ascii="Times New Roman"/>
          <w:sz w:val="28"/>
          <w:szCs w:val="32"/>
        </w:rPr>
        <w:t>本指南规定了水生生物修复的一般要求、修复模式、适用范围、技术方法、限制因素，属于具有纲领性与原则性指导的技术指南，针对每一种水生生物修复工艺仅技术要点在本技术指南范围内。本指南适用于江西省水生生物多样性出现退化现象的湖库水生生物修复工作。</w:t>
      </w:r>
    </w:p>
    <w:p w14:paraId="45CE81D9">
      <w:pPr>
        <w:pStyle w:val="4"/>
        <w:numPr>
          <w:ilvl w:val="2"/>
          <w:numId w:val="0"/>
        </w:numPr>
        <w:bidi w:val="0"/>
        <w:ind w:left="0" w:leftChars="0" w:firstLine="0" w:firstLineChars="0"/>
        <w:rPr>
          <w:rFonts w:ascii="Times New Roman" w:hAnsi="Times New Roman" w:eastAsia="宋体" w:cs="Times New Roman"/>
        </w:rPr>
      </w:pPr>
      <w:bookmarkStart w:id="55" w:name="_Toc771"/>
      <w:bookmarkStart w:id="56" w:name="_Toc512268710"/>
      <w:bookmarkStart w:id="57" w:name="_Toc512268753"/>
      <w:bookmarkStart w:id="58" w:name="_Toc512266612"/>
      <w:bookmarkStart w:id="59" w:name="_Toc514764288"/>
      <w:bookmarkStart w:id="60" w:name="_Toc514764254"/>
      <w:r>
        <w:rPr>
          <w:rFonts w:hint="eastAsia" w:cs="Times New Roman"/>
          <w:sz w:val="24"/>
          <w:szCs w:val="24"/>
          <w:lang w:val="en-US" w:eastAsia="zh-CN" w:bidi="ar-SA"/>
        </w:rPr>
        <w:t>5.2.</w:t>
      </w:r>
      <w:r>
        <w:rPr>
          <w:rFonts w:hint="default" w:ascii="Times New Roman" w:hAnsi="Times New Roman" w:eastAsia="宋体" w:cs="Times New Roman"/>
          <w:sz w:val="24"/>
          <w:szCs w:val="24"/>
          <w:lang w:val="en-US" w:eastAsia="zh-CN" w:bidi="ar-SA"/>
        </w:rPr>
        <w:t>2</w:t>
      </w:r>
      <w:r>
        <w:rPr>
          <w:rFonts w:ascii="Times New Roman" w:hAnsi="Times New Roman" w:eastAsia="宋体" w:cs="Times New Roman"/>
        </w:rPr>
        <w:t>规范性引用文件</w:t>
      </w:r>
      <w:bookmarkEnd w:id="55"/>
      <w:bookmarkEnd w:id="56"/>
      <w:bookmarkEnd w:id="57"/>
      <w:bookmarkEnd w:id="58"/>
      <w:bookmarkEnd w:id="59"/>
      <w:bookmarkEnd w:id="60"/>
    </w:p>
    <w:p w14:paraId="0D2D4889">
      <w:pPr>
        <w:pStyle w:val="44"/>
        <w:adjustRightInd w:val="0"/>
        <w:snapToGrid w:val="0"/>
        <w:spacing w:line="360" w:lineRule="auto"/>
        <w:ind w:firstLine="560"/>
        <w:rPr>
          <w:rFonts w:ascii="Times New Roman"/>
          <w:sz w:val="28"/>
          <w:szCs w:val="32"/>
        </w:rPr>
      </w:pPr>
      <w:bookmarkStart w:id="61" w:name="_Hlk95493748"/>
      <w:bookmarkStart w:id="62" w:name="_Hlk8566833"/>
      <w:r>
        <w:rPr>
          <w:rFonts w:ascii="Times New Roman"/>
          <w:sz w:val="28"/>
          <w:szCs w:val="32"/>
        </w:rPr>
        <w:t>本文件所引用的国家有关</w:t>
      </w:r>
      <w:r>
        <w:rPr>
          <w:rFonts w:hint="eastAsia" w:ascii="Times New Roman"/>
          <w:sz w:val="28"/>
          <w:szCs w:val="32"/>
        </w:rPr>
        <w:t>标准、</w:t>
      </w:r>
      <w:r>
        <w:rPr>
          <w:rFonts w:ascii="Times New Roman"/>
          <w:sz w:val="28"/>
          <w:szCs w:val="32"/>
        </w:rPr>
        <w:t>规范、</w:t>
      </w:r>
      <w:r>
        <w:rPr>
          <w:rFonts w:hint="eastAsia" w:ascii="Times New Roman"/>
          <w:sz w:val="28"/>
          <w:szCs w:val="32"/>
        </w:rPr>
        <w:t>指南</w:t>
      </w:r>
      <w:r>
        <w:rPr>
          <w:rFonts w:ascii="Times New Roman"/>
          <w:sz w:val="28"/>
          <w:szCs w:val="32"/>
        </w:rPr>
        <w:t>均为现行且有效的，条文中给出编号，以便于使用时查找。</w:t>
      </w:r>
      <w:bookmarkEnd w:id="61"/>
    </w:p>
    <w:bookmarkEnd w:id="62"/>
    <w:p w14:paraId="26E05AFC">
      <w:pPr>
        <w:pStyle w:val="4"/>
        <w:numPr>
          <w:ilvl w:val="2"/>
          <w:numId w:val="0"/>
        </w:numPr>
        <w:bidi w:val="0"/>
        <w:ind w:left="0" w:leftChars="0" w:firstLine="0" w:firstLineChars="0"/>
        <w:rPr>
          <w:rFonts w:ascii="Times New Roman" w:hAnsi="Times New Roman" w:eastAsia="宋体" w:cs="Times New Roman"/>
        </w:rPr>
      </w:pPr>
      <w:bookmarkStart w:id="63" w:name="_Toc512266613"/>
      <w:bookmarkEnd w:id="63"/>
      <w:bookmarkStart w:id="64" w:name="_Toc283112792"/>
      <w:bookmarkStart w:id="65" w:name="_Toc323394171"/>
      <w:bookmarkStart w:id="66" w:name="_Toc512268711"/>
      <w:bookmarkStart w:id="67" w:name="_Toc283111629"/>
      <w:bookmarkStart w:id="68" w:name="_Toc21359"/>
      <w:bookmarkStart w:id="69" w:name="_Toc514764289"/>
      <w:bookmarkStart w:id="70" w:name="_Toc512268754"/>
      <w:bookmarkStart w:id="71" w:name="_Toc514764255"/>
      <w:bookmarkStart w:id="72" w:name="_Toc323394132"/>
      <w:r>
        <w:rPr>
          <w:rFonts w:hint="eastAsia" w:cs="Times New Roman"/>
          <w:sz w:val="24"/>
          <w:szCs w:val="24"/>
          <w:lang w:val="en-US" w:eastAsia="zh-CN" w:bidi="ar-SA"/>
        </w:rPr>
        <w:t>5.2.</w:t>
      </w:r>
      <w:r>
        <w:rPr>
          <w:rFonts w:hint="default" w:ascii="Times New Roman" w:hAnsi="Times New Roman" w:eastAsia="宋体" w:cs="Times New Roman"/>
          <w:sz w:val="24"/>
          <w:szCs w:val="24"/>
          <w:lang w:val="en-US" w:eastAsia="zh-CN" w:bidi="ar-SA"/>
        </w:rPr>
        <w:t>3</w:t>
      </w:r>
      <w:r>
        <w:rPr>
          <w:rFonts w:ascii="Times New Roman" w:hAnsi="Times New Roman" w:eastAsia="宋体" w:cs="Times New Roman"/>
        </w:rPr>
        <w:t>术语与定义</w:t>
      </w:r>
      <w:bookmarkEnd w:id="64"/>
      <w:bookmarkEnd w:id="65"/>
      <w:bookmarkEnd w:id="66"/>
      <w:bookmarkEnd w:id="67"/>
      <w:bookmarkEnd w:id="68"/>
      <w:bookmarkEnd w:id="69"/>
      <w:bookmarkEnd w:id="70"/>
      <w:bookmarkEnd w:id="71"/>
      <w:bookmarkEnd w:id="72"/>
    </w:p>
    <w:p w14:paraId="7909C3C3">
      <w:pPr>
        <w:pStyle w:val="44"/>
        <w:widowControl w:val="0"/>
        <w:adjustRightInd w:val="0"/>
        <w:snapToGrid w:val="0"/>
        <w:spacing w:line="360" w:lineRule="auto"/>
        <w:ind w:firstLine="560"/>
        <w:rPr>
          <w:rFonts w:ascii="Times New Roman"/>
          <w:sz w:val="28"/>
          <w:szCs w:val="28"/>
        </w:rPr>
      </w:pPr>
      <w:r>
        <w:rPr>
          <w:rFonts w:ascii="Times New Roman"/>
          <w:sz w:val="28"/>
          <w:szCs w:val="28"/>
        </w:rPr>
        <w:t>本文件涉及了</w:t>
      </w:r>
      <w:r>
        <w:rPr>
          <w:rFonts w:hint="eastAsia" w:ascii="Times New Roman"/>
          <w:sz w:val="28"/>
          <w:szCs w:val="28"/>
          <w:lang w:val="en-US" w:eastAsia="zh-CN"/>
        </w:rPr>
        <w:t>21</w:t>
      </w:r>
      <w:r>
        <w:rPr>
          <w:rFonts w:ascii="Times New Roman"/>
          <w:sz w:val="28"/>
          <w:szCs w:val="28"/>
        </w:rPr>
        <w:t>个术语和定义。分别为</w:t>
      </w:r>
      <w:r>
        <w:rPr>
          <w:rFonts w:hint="eastAsia" w:ascii="Times New Roman"/>
          <w:sz w:val="28"/>
          <w:szCs w:val="28"/>
          <w:lang w:val="en-US" w:eastAsia="zh-CN"/>
        </w:rPr>
        <w:t>湖泊、水库、</w:t>
      </w:r>
      <w:r>
        <w:rPr>
          <w:rFonts w:hint="eastAsia" w:ascii="Times New Roman"/>
          <w:sz w:val="28"/>
          <w:szCs w:val="28"/>
        </w:rPr>
        <w:t>生境、生态治理、生态恢复、生态修复、先锋物种、水生动物、大型底栖动物、浮游动物、浮游植物、水生植物、挺水植物、漂浮植物、浮叶植物、沉水植物、周丛生物、季相、人工浮岛、生物操纵和微生物吸附剂</w:t>
      </w:r>
      <w:r>
        <w:rPr>
          <w:rFonts w:ascii="Times New Roman"/>
          <w:sz w:val="28"/>
          <w:szCs w:val="28"/>
        </w:rPr>
        <w:t>。</w:t>
      </w:r>
    </w:p>
    <w:p w14:paraId="2E8AD3B5">
      <w:pPr>
        <w:pStyle w:val="44"/>
        <w:widowControl w:val="0"/>
        <w:adjustRightInd w:val="0"/>
        <w:snapToGrid w:val="0"/>
        <w:spacing w:line="360" w:lineRule="auto"/>
        <w:ind w:firstLine="560"/>
        <w:rPr>
          <w:rFonts w:ascii="Times New Roman"/>
          <w:sz w:val="28"/>
          <w:szCs w:val="28"/>
        </w:rPr>
      </w:pPr>
      <w:r>
        <w:rPr>
          <w:rFonts w:ascii="Times New Roman"/>
          <w:sz w:val="28"/>
          <w:szCs w:val="28"/>
        </w:rPr>
        <w:t>【文件3.</w:t>
      </w:r>
      <w:r>
        <w:rPr>
          <w:rFonts w:hint="eastAsia" w:ascii="Times New Roman"/>
          <w:sz w:val="28"/>
          <w:szCs w:val="28"/>
          <w:lang w:val="en-US" w:eastAsia="zh-CN"/>
        </w:rPr>
        <w:t>3</w:t>
      </w:r>
      <w:r>
        <w:rPr>
          <w:rFonts w:ascii="Times New Roman"/>
          <w:sz w:val="28"/>
          <w:szCs w:val="28"/>
        </w:rPr>
        <w:t>条文说明】该定义参照</w:t>
      </w:r>
      <w:r>
        <w:rPr>
          <w:rFonts w:hint="eastAsia" w:ascii="Times New Roman"/>
          <w:sz w:val="28"/>
          <w:szCs w:val="28"/>
        </w:rPr>
        <w:t>《重庆市湖库生态修复适宜技术选择指南》（渝环办〔2017〕672 号）</w:t>
      </w:r>
      <w:r>
        <w:rPr>
          <w:rFonts w:ascii="Times New Roman"/>
          <w:sz w:val="28"/>
          <w:szCs w:val="28"/>
        </w:rPr>
        <w:t>中2.1的解释。</w:t>
      </w:r>
    </w:p>
    <w:p w14:paraId="0FE49570">
      <w:pPr>
        <w:pStyle w:val="44"/>
        <w:widowControl w:val="0"/>
        <w:adjustRightInd w:val="0"/>
        <w:snapToGrid w:val="0"/>
        <w:spacing w:line="360" w:lineRule="auto"/>
        <w:ind w:firstLine="560"/>
        <w:rPr>
          <w:rFonts w:ascii="Times New Roman"/>
          <w:sz w:val="28"/>
          <w:szCs w:val="28"/>
        </w:rPr>
      </w:pPr>
      <w:r>
        <w:rPr>
          <w:rFonts w:ascii="Times New Roman"/>
          <w:sz w:val="28"/>
          <w:szCs w:val="28"/>
        </w:rPr>
        <w:t>【文件3.</w:t>
      </w:r>
      <w:r>
        <w:rPr>
          <w:rFonts w:hint="eastAsia" w:ascii="Times New Roman"/>
          <w:sz w:val="28"/>
          <w:szCs w:val="28"/>
          <w:lang w:val="en-US" w:eastAsia="zh-CN"/>
        </w:rPr>
        <w:t>4</w:t>
      </w:r>
      <w:r>
        <w:rPr>
          <w:rFonts w:ascii="Times New Roman"/>
          <w:sz w:val="28"/>
          <w:szCs w:val="28"/>
        </w:rPr>
        <w:t>条文说明】该定义参照</w:t>
      </w:r>
      <w:r>
        <w:rPr>
          <w:rFonts w:hint="eastAsia" w:ascii="Times New Roman"/>
          <w:sz w:val="28"/>
          <w:szCs w:val="28"/>
        </w:rPr>
        <w:t>《重庆市湖库生态修复适宜技术选择指南》（渝环办〔2017〕672 号）</w:t>
      </w:r>
      <w:r>
        <w:rPr>
          <w:rFonts w:ascii="Times New Roman"/>
          <w:sz w:val="28"/>
          <w:szCs w:val="28"/>
        </w:rPr>
        <w:t>中2.7的解释。</w:t>
      </w:r>
    </w:p>
    <w:p w14:paraId="14C92653">
      <w:pPr>
        <w:pStyle w:val="44"/>
        <w:widowControl w:val="0"/>
        <w:adjustRightInd w:val="0"/>
        <w:snapToGrid w:val="0"/>
        <w:spacing w:line="360" w:lineRule="auto"/>
        <w:ind w:firstLine="560"/>
        <w:rPr>
          <w:rFonts w:ascii="Times New Roman"/>
          <w:sz w:val="28"/>
          <w:szCs w:val="28"/>
        </w:rPr>
      </w:pPr>
      <w:r>
        <w:rPr>
          <w:rFonts w:ascii="Times New Roman"/>
          <w:sz w:val="28"/>
          <w:szCs w:val="28"/>
        </w:rPr>
        <w:t>【文件3.</w:t>
      </w:r>
      <w:r>
        <w:rPr>
          <w:rFonts w:hint="eastAsia" w:ascii="Times New Roman"/>
          <w:sz w:val="28"/>
          <w:szCs w:val="28"/>
          <w:lang w:val="en-US" w:eastAsia="zh-CN"/>
        </w:rPr>
        <w:t>5</w:t>
      </w:r>
      <w:r>
        <w:rPr>
          <w:rFonts w:ascii="Times New Roman"/>
          <w:sz w:val="28"/>
          <w:szCs w:val="28"/>
        </w:rPr>
        <w:t>条文说明】该定义参照</w:t>
      </w:r>
      <w:r>
        <w:rPr>
          <w:rFonts w:hint="eastAsia" w:ascii="Times New Roman"/>
          <w:sz w:val="28"/>
          <w:szCs w:val="28"/>
        </w:rPr>
        <w:t>《重庆市湖库生态修复适宜技术选择指南》（渝环办〔2017〕672 号）</w:t>
      </w:r>
      <w:r>
        <w:rPr>
          <w:rFonts w:ascii="Times New Roman"/>
          <w:sz w:val="28"/>
          <w:szCs w:val="28"/>
        </w:rPr>
        <w:t>中2.8的解释。</w:t>
      </w:r>
    </w:p>
    <w:p w14:paraId="6FF52651">
      <w:pPr>
        <w:pStyle w:val="44"/>
        <w:widowControl w:val="0"/>
        <w:adjustRightInd w:val="0"/>
        <w:snapToGrid w:val="0"/>
        <w:spacing w:line="360" w:lineRule="auto"/>
        <w:ind w:firstLine="560"/>
        <w:rPr>
          <w:rFonts w:ascii="Times New Roman"/>
          <w:sz w:val="28"/>
          <w:szCs w:val="28"/>
        </w:rPr>
      </w:pPr>
      <w:r>
        <w:rPr>
          <w:rFonts w:ascii="Times New Roman"/>
          <w:sz w:val="28"/>
          <w:szCs w:val="28"/>
        </w:rPr>
        <w:t>【文件3.</w:t>
      </w:r>
      <w:r>
        <w:rPr>
          <w:rFonts w:hint="eastAsia" w:ascii="Times New Roman"/>
          <w:sz w:val="28"/>
          <w:szCs w:val="28"/>
          <w:lang w:val="en-US" w:eastAsia="zh-CN"/>
        </w:rPr>
        <w:t>6</w:t>
      </w:r>
      <w:r>
        <w:rPr>
          <w:rFonts w:ascii="Times New Roman"/>
          <w:sz w:val="28"/>
          <w:szCs w:val="28"/>
        </w:rPr>
        <w:t>条文说明】该定义参照</w:t>
      </w:r>
      <w:r>
        <w:rPr>
          <w:rFonts w:hint="eastAsia" w:ascii="Times New Roman"/>
          <w:sz w:val="28"/>
          <w:szCs w:val="28"/>
        </w:rPr>
        <w:t>《湖滨带生态修复工程技术指南》（环办〔2014〕111号）</w:t>
      </w:r>
      <w:r>
        <w:rPr>
          <w:rFonts w:ascii="Times New Roman"/>
          <w:sz w:val="28"/>
          <w:szCs w:val="28"/>
        </w:rPr>
        <w:t>中1.3.2的解释。</w:t>
      </w:r>
    </w:p>
    <w:p w14:paraId="09AF6677">
      <w:pPr>
        <w:pStyle w:val="44"/>
        <w:widowControl w:val="0"/>
        <w:adjustRightInd w:val="0"/>
        <w:snapToGrid w:val="0"/>
        <w:spacing w:line="360" w:lineRule="auto"/>
        <w:ind w:firstLine="560"/>
        <w:rPr>
          <w:rFonts w:ascii="Times New Roman"/>
          <w:sz w:val="28"/>
          <w:szCs w:val="28"/>
        </w:rPr>
      </w:pPr>
      <w:r>
        <w:rPr>
          <w:rFonts w:ascii="Times New Roman"/>
          <w:sz w:val="28"/>
          <w:szCs w:val="28"/>
        </w:rPr>
        <w:t>【文件3.</w:t>
      </w:r>
      <w:r>
        <w:rPr>
          <w:rFonts w:hint="eastAsia" w:ascii="Times New Roman"/>
          <w:sz w:val="28"/>
          <w:szCs w:val="28"/>
          <w:lang w:val="en-US" w:eastAsia="zh-CN"/>
        </w:rPr>
        <w:t>7</w:t>
      </w:r>
      <w:r>
        <w:rPr>
          <w:rFonts w:ascii="Times New Roman"/>
          <w:sz w:val="28"/>
          <w:szCs w:val="28"/>
        </w:rPr>
        <w:t>条文说明】</w:t>
      </w:r>
      <w:r>
        <w:rPr>
          <w:rFonts w:hint="eastAsia" w:ascii="Times New Roman"/>
          <w:sz w:val="28"/>
          <w:szCs w:val="28"/>
        </w:rPr>
        <w:t>指得是一个生态群落的演替早期阶段或演替中期阶段的物种</w:t>
      </w:r>
      <w:r>
        <w:rPr>
          <w:rFonts w:ascii="Times New Roman"/>
          <w:sz w:val="28"/>
          <w:szCs w:val="28"/>
        </w:rPr>
        <w:t>。</w:t>
      </w:r>
    </w:p>
    <w:p w14:paraId="05EC01D5">
      <w:pPr>
        <w:pStyle w:val="44"/>
        <w:widowControl w:val="0"/>
        <w:adjustRightInd w:val="0"/>
        <w:snapToGrid w:val="0"/>
        <w:spacing w:line="360" w:lineRule="auto"/>
        <w:ind w:firstLine="560"/>
        <w:rPr>
          <w:rFonts w:ascii="Times New Roman"/>
          <w:sz w:val="28"/>
          <w:szCs w:val="28"/>
        </w:rPr>
      </w:pPr>
      <w:r>
        <w:rPr>
          <w:rFonts w:ascii="Times New Roman"/>
          <w:sz w:val="28"/>
          <w:szCs w:val="28"/>
        </w:rPr>
        <w:t>【文件3.</w:t>
      </w:r>
      <w:r>
        <w:rPr>
          <w:rFonts w:hint="eastAsia" w:ascii="Times New Roman"/>
          <w:sz w:val="28"/>
          <w:szCs w:val="28"/>
          <w:lang w:val="en-US" w:eastAsia="zh-CN"/>
        </w:rPr>
        <w:t>8</w:t>
      </w:r>
      <w:r>
        <w:rPr>
          <w:rFonts w:ascii="Times New Roman"/>
          <w:sz w:val="28"/>
          <w:szCs w:val="28"/>
        </w:rPr>
        <w:t>条文说明】</w:t>
      </w:r>
      <w:r>
        <w:rPr>
          <w:rFonts w:hint="eastAsia" w:ascii="Times New Roman"/>
          <w:sz w:val="28"/>
          <w:szCs w:val="28"/>
        </w:rPr>
        <w:t>指主要在水中生活的动物。大多数水生动物是在物种进化中未曾脱离水中生活的水生动物，也有像水生昆虫之类由陆生动物转化成水生动物的水生动物，后者有的并不靠水中的溶解氧来呼吸。</w:t>
      </w:r>
    </w:p>
    <w:p w14:paraId="1F90A62C">
      <w:pPr>
        <w:pStyle w:val="44"/>
        <w:widowControl w:val="0"/>
        <w:adjustRightInd w:val="0"/>
        <w:snapToGrid w:val="0"/>
        <w:spacing w:line="360" w:lineRule="auto"/>
        <w:ind w:firstLine="560"/>
        <w:rPr>
          <w:rFonts w:ascii="Times New Roman"/>
          <w:sz w:val="28"/>
          <w:szCs w:val="28"/>
        </w:rPr>
      </w:pPr>
      <w:r>
        <w:rPr>
          <w:rFonts w:ascii="Times New Roman"/>
          <w:sz w:val="28"/>
          <w:szCs w:val="28"/>
        </w:rPr>
        <w:t>【文件3.</w:t>
      </w:r>
      <w:r>
        <w:rPr>
          <w:rFonts w:hint="eastAsia" w:ascii="Times New Roman"/>
          <w:sz w:val="28"/>
          <w:szCs w:val="28"/>
          <w:lang w:val="en-US" w:eastAsia="zh-CN"/>
        </w:rPr>
        <w:t>9</w:t>
      </w:r>
      <w:r>
        <w:rPr>
          <w:rFonts w:ascii="Times New Roman"/>
          <w:sz w:val="28"/>
          <w:szCs w:val="28"/>
        </w:rPr>
        <w:t>条文说明】该定义参照</w:t>
      </w:r>
      <w:r>
        <w:rPr>
          <w:rFonts w:hint="eastAsia" w:ascii="Times New Roman"/>
          <w:sz w:val="28"/>
          <w:szCs w:val="28"/>
        </w:rPr>
        <w:t>《湖泊流域入湖河流河道生态修复技术指南》（环办〔2014〕111号）</w:t>
      </w:r>
      <w:r>
        <w:rPr>
          <w:rFonts w:ascii="Times New Roman"/>
          <w:sz w:val="28"/>
          <w:szCs w:val="28"/>
        </w:rPr>
        <w:t>中</w:t>
      </w:r>
      <w:r>
        <w:rPr>
          <w:rFonts w:hint="eastAsia" w:ascii="Times New Roman"/>
          <w:sz w:val="28"/>
          <w:szCs w:val="28"/>
        </w:rPr>
        <w:t>2.2.4河流生态调查（4）</w:t>
      </w:r>
      <w:r>
        <w:rPr>
          <w:rFonts w:ascii="Times New Roman"/>
          <w:sz w:val="28"/>
          <w:szCs w:val="28"/>
        </w:rPr>
        <w:t>的解释。</w:t>
      </w:r>
    </w:p>
    <w:p w14:paraId="690F2FD4">
      <w:pPr>
        <w:pStyle w:val="44"/>
        <w:widowControl w:val="0"/>
        <w:adjustRightInd w:val="0"/>
        <w:snapToGrid w:val="0"/>
        <w:spacing w:line="360" w:lineRule="auto"/>
        <w:ind w:firstLine="560"/>
        <w:rPr>
          <w:rFonts w:hint="eastAsia" w:ascii="Times New Roman"/>
          <w:sz w:val="28"/>
          <w:szCs w:val="28"/>
        </w:rPr>
      </w:pPr>
      <w:r>
        <w:rPr>
          <w:rFonts w:ascii="Times New Roman"/>
          <w:sz w:val="28"/>
          <w:szCs w:val="28"/>
        </w:rPr>
        <w:t>【文件3.</w:t>
      </w:r>
      <w:r>
        <w:rPr>
          <w:rFonts w:hint="eastAsia" w:ascii="Times New Roman"/>
          <w:sz w:val="28"/>
          <w:szCs w:val="28"/>
          <w:lang w:val="en-US" w:eastAsia="zh-CN"/>
        </w:rPr>
        <w:t>10</w:t>
      </w:r>
      <w:r>
        <w:rPr>
          <w:rFonts w:ascii="Times New Roman"/>
          <w:sz w:val="28"/>
          <w:szCs w:val="28"/>
        </w:rPr>
        <w:t>条文说明】该定义参照</w:t>
      </w:r>
      <w:r>
        <w:rPr>
          <w:rFonts w:hint="eastAsia" w:ascii="Times New Roman"/>
          <w:sz w:val="28"/>
          <w:szCs w:val="28"/>
        </w:rPr>
        <w:t>《湖泊流域入湖河流河道生态修复技术指南》（环办〔2014〕111号）中2.2.4河流生态调查（</w:t>
      </w:r>
      <w:r>
        <w:rPr>
          <w:rFonts w:ascii="Times New Roman"/>
          <w:sz w:val="28"/>
          <w:szCs w:val="28"/>
        </w:rPr>
        <w:t>5</w:t>
      </w:r>
      <w:r>
        <w:rPr>
          <w:rFonts w:hint="eastAsia" w:ascii="Times New Roman"/>
          <w:sz w:val="28"/>
          <w:szCs w:val="28"/>
        </w:rPr>
        <w:t>）的解释。</w:t>
      </w:r>
    </w:p>
    <w:p w14:paraId="1C4E4A6F">
      <w:pPr>
        <w:pStyle w:val="44"/>
        <w:widowControl w:val="0"/>
        <w:adjustRightInd w:val="0"/>
        <w:snapToGrid w:val="0"/>
        <w:spacing w:line="360" w:lineRule="auto"/>
        <w:ind w:firstLine="560"/>
        <w:rPr>
          <w:rFonts w:ascii="Times New Roman"/>
          <w:sz w:val="28"/>
          <w:szCs w:val="28"/>
        </w:rPr>
      </w:pPr>
      <w:r>
        <w:rPr>
          <w:rFonts w:ascii="Times New Roman"/>
          <w:sz w:val="28"/>
          <w:szCs w:val="28"/>
        </w:rPr>
        <w:t>【文件3.</w:t>
      </w:r>
      <w:r>
        <w:rPr>
          <w:rFonts w:hint="eastAsia" w:ascii="Times New Roman"/>
          <w:sz w:val="28"/>
          <w:szCs w:val="28"/>
          <w:lang w:val="en-US" w:eastAsia="zh-CN"/>
        </w:rPr>
        <w:t>11</w:t>
      </w:r>
      <w:r>
        <w:rPr>
          <w:rFonts w:ascii="Times New Roman"/>
          <w:sz w:val="28"/>
          <w:szCs w:val="28"/>
        </w:rPr>
        <w:t>条文说明】</w:t>
      </w:r>
      <w:r>
        <w:rPr>
          <w:rFonts w:hint="eastAsia" w:ascii="Times New Roman"/>
          <w:sz w:val="28"/>
          <w:szCs w:val="28"/>
        </w:rPr>
        <w:t>《湖泊流域入湖河流河道生态修复技术指南》（环办〔2014〕111号）中2.2.4河流生态调查（</w:t>
      </w:r>
      <w:r>
        <w:rPr>
          <w:rFonts w:ascii="Times New Roman"/>
          <w:sz w:val="28"/>
          <w:szCs w:val="28"/>
        </w:rPr>
        <w:t>5</w:t>
      </w:r>
      <w:r>
        <w:rPr>
          <w:rFonts w:hint="eastAsia" w:ascii="Times New Roman"/>
          <w:sz w:val="28"/>
          <w:szCs w:val="28"/>
        </w:rPr>
        <w:t>）的解释。</w:t>
      </w:r>
    </w:p>
    <w:p w14:paraId="5DE3DD40">
      <w:pPr>
        <w:pStyle w:val="44"/>
        <w:widowControl w:val="0"/>
        <w:adjustRightInd w:val="0"/>
        <w:snapToGrid w:val="0"/>
        <w:spacing w:line="360" w:lineRule="auto"/>
        <w:ind w:firstLine="560"/>
        <w:rPr>
          <w:rFonts w:ascii="Times New Roman"/>
          <w:sz w:val="28"/>
          <w:szCs w:val="28"/>
        </w:rPr>
      </w:pPr>
      <w:r>
        <w:rPr>
          <w:rFonts w:ascii="Times New Roman"/>
          <w:sz w:val="28"/>
          <w:szCs w:val="28"/>
        </w:rPr>
        <w:t>【文件3.1</w:t>
      </w:r>
      <w:r>
        <w:rPr>
          <w:rFonts w:hint="eastAsia" w:ascii="Times New Roman"/>
          <w:sz w:val="28"/>
          <w:szCs w:val="28"/>
          <w:lang w:val="en-US" w:eastAsia="zh-CN"/>
        </w:rPr>
        <w:t>2</w:t>
      </w:r>
      <w:r>
        <w:rPr>
          <w:rFonts w:ascii="Times New Roman"/>
          <w:sz w:val="28"/>
          <w:szCs w:val="28"/>
        </w:rPr>
        <w:t>条文说明】</w:t>
      </w:r>
      <w:r>
        <w:rPr>
          <w:rFonts w:hint="eastAsia" w:ascii="Times New Roman"/>
          <w:sz w:val="28"/>
          <w:szCs w:val="28"/>
        </w:rPr>
        <w:t>该定义参照《重庆市湖库生态修复适宜技术选择指南》（渝环办〔2017〕672 号）中2.</w:t>
      </w:r>
      <w:r>
        <w:rPr>
          <w:rFonts w:ascii="Times New Roman"/>
          <w:sz w:val="28"/>
          <w:szCs w:val="28"/>
        </w:rPr>
        <w:t>3</w:t>
      </w:r>
      <w:r>
        <w:rPr>
          <w:rFonts w:hint="eastAsia" w:ascii="Times New Roman"/>
          <w:sz w:val="28"/>
          <w:szCs w:val="28"/>
        </w:rPr>
        <w:t>的解释。</w:t>
      </w:r>
    </w:p>
    <w:p w14:paraId="01CA73CE">
      <w:pPr>
        <w:pStyle w:val="44"/>
        <w:widowControl w:val="0"/>
        <w:adjustRightInd w:val="0"/>
        <w:snapToGrid w:val="0"/>
        <w:spacing w:line="360" w:lineRule="auto"/>
        <w:ind w:firstLine="560"/>
        <w:rPr>
          <w:rFonts w:ascii="Times New Roman"/>
          <w:sz w:val="28"/>
          <w:szCs w:val="28"/>
        </w:rPr>
      </w:pPr>
      <w:r>
        <w:rPr>
          <w:rFonts w:ascii="Times New Roman"/>
          <w:sz w:val="28"/>
          <w:szCs w:val="28"/>
        </w:rPr>
        <w:t>【文件3.1</w:t>
      </w:r>
      <w:r>
        <w:rPr>
          <w:rFonts w:hint="eastAsia" w:ascii="Times New Roman"/>
          <w:sz w:val="28"/>
          <w:szCs w:val="28"/>
          <w:lang w:val="en-US" w:eastAsia="zh-CN"/>
        </w:rPr>
        <w:t>3</w:t>
      </w:r>
      <w:r>
        <w:rPr>
          <w:rFonts w:ascii="Times New Roman"/>
          <w:sz w:val="28"/>
          <w:szCs w:val="28"/>
        </w:rPr>
        <w:t>条文说明】</w:t>
      </w:r>
      <w:r>
        <w:rPr>
          <w:rFonts w:hint="eastAsia" w:ascii="Times New Roman"/>
          <w:sz w:val="28"/>
          <w:szCs w:val="28"/>
        </w:rPr>
        <w:t>该定义参照《重庆市湖库生态修复适宜技术选择指南》（渝环办〔2017〕672 号）中2.</w:t>
      </w:r>
      <w:r>
        <w:rPr>
          <w:rFonts w:ascii="Times New Roman"/>
          <w:sz w:val="28"/>
          <w:szCs w:val="28"/>
        </w:rPr>
        <w:t>4</w:t>
      </w:r>
      <w:r>
        <w:rPr>
          <w:rFonts w:hint="eastAsia" w:ascii="Times New Roman"/>
          <w:sz w:val="28"/>
          <w:szCs w:val="28"/>
        </w:rPr>
        <w:t>的解释。</w:t>
      </w:r>
    </w:p>
    <w:p w14:paraId="6D97DA65">
      <w:pPr>
        <w:pStyle w:val="44"/>
        <w:widowControl w:val="0"/>
        <w:adjustRightInd w:val="0"/>
        <w:snapToGrid w:val="0"/>
        <w:spacing w:line="360" w:lineRule="auto"/>
        <w:ind w:firstLine="560"/>
        <w:rPr>
          <w:rFonts w:ascii="Times New Roman"/>
          <w:sz w:val="28"/>
          <w:szCs w:val="28"/>
        </w:rPr>
      </w:pPr>
      <w:r>
        <w:rPr>
          <w:rFonts w:ascii="Times New Roman"/>
          <w:sz w:val="28"/>
          <w:szCs w:val="28"/>
        </w:rPr>
        <w:t>【文件3.1</w:t>
      </w:r>
      <w:r>
        <w:rPr>
          <w:rFonts w:hint="eastAsia" w:ascii="Times New Roman"/>
          <w:sz w:val="28"/>
          <w:szCs w:val="28"/>
          <w:lang w:val="en-US" w:eastAsia="zh-CN"/>
        </w:rPr>
        <w:t>4</w:t>
      </w:r>
      <w:r>
        <w:rPr>
          <w:rFonts w:ascii="Times New Roman"/>
          <w:sz w:val="28"/>
          <w:szCs w:val="28"/>
        </w:rPr>
        <w:t>条文说明】</w:t>
      </w:r>
      <w:r>
        <w:rPr>
          <w:rFonts w:hint="eastAsia" w:ascii="Times New Roman"/>
          <w:sz w:val="28"/>
          <w:szCs w:val="28"/>
        </w:rPr>
        <w:t>指无明显的地上茎或茎细弱不能直立，叶片漂浮在水面的水生植物</w:t>
      </w:r>
      <w:r>
        <w:rPr>
          <w:rFonts w:ascii="Times New Roman"/>
          <w:sz w:val="28"/>
          <w:szCs w:val="28"/>
        </w:rPr>
        <w:t>。</w:t>
      </w:r>
    </w:p>
    <w:p w14:paraId="1E8634D6">
      <w:pPr>
        <w:pStyle w:val="44"/>
        <w:widowControl w:val="0"/>
        <w:adjustRightInd w:val="0"/>
        <w:snapToGrid w:val="0"/>
        <w:spacing w:line="360" w:lineRule="auto"/>
        <w:ind w:firstLine="560"/>
        <w:rPr>
          <w:rFonts w:ascii="Times New Roman"/>
          <w:sz w:val="28"/>
          <w:szCs w:val="28"/>
        </w:rPr>
      </w:pPr>
      <w:r>
        <w:rPr>
          <w:rFonts w:ascii="Times New Roman"/>
          <w:sz w:val="28"/>
          <w:szCs w:val="28"/>
        </w:rPr>
        <w:t>【文件3.1</w:t>
      </w:r>
      <w:r>
        <w:rPr>
          <w:rFonts w:hint="eastAsia" w:ascii="Times New Roman"/>
          <w:sz w:val="28"/>
          <w:szCs w:val="28"/>
          <w:lang w:val="en-US" w:eastAsia="zh-CN"/>
        </w:rPr>
        <w:t>5</w:t>
      </w:r>
      <w:r>
        <w:rPr>
          <w:rFonts w:ascii="Times New Roman"/>
          <w:sz w:val="28"/>
          <w:szCs w:val="28"/>
        </w:rPr>
        <w:t>条文说明】</w:t>
      </w:r>
      <w:r>
        <w:rPr>
          <w:rFonts w:hint="eastAsia" w:ascii="Times New Roman"/>
          <w:sz w:val="28"/>
          <w:szCs w:val="28"/>
        </w:rPr>
        <w:t>该定义参照《重庆市湖库生态修复适宜技术选择指南》（渝环办〔2017〕672 号）中2.</w:t>
      </w:r>
      <w:r>
        <w:rPr>
          <w:rFonts w:ascii="Times New Roman"/>
          <w:sz w:val="28"/>
          <w:szCs w:val="28"/>
        </w:rPr>
        <w:t>5</w:t>
      </w:r>
      <w:r>
        <w:rPr>
          <w:rFonts w:hint="eastAsia" w:ascii="Times New Roman"/>
          <w:sz w:val="28"/>
          <w:szCs w:val="28"/>
        </w:rPr>
        <w:t>的解释</w:t>
      </w:r>
      <w:r>
        <w:rPr>
          <w:rFonts w:ascii="Times New Roman"/>
          <w:sz w:val="28"/>
          <w:szCs w:val="28"/>
        </w:rPr>
        <w:t>。</w:t>
      </w:r>
    </w:p>
    <w:p w14:paraId="5F3FAD6D">
      <w:pPr>
        <w:pStyle w:val="44"/>
        <w:widowControl w:val="0"/>
        <w:adjustRightInd w:val="0"/>
        <w:snapToGrid w:val="0"/>
        <w:spacing w:line="360" w:lineRule="auto"/>
        <w:ind w:firstLine="560"/>
        <w:rPr>
          <w:rFonts w:ascii="Times New Roman"/>
          <w:sz w:val="28"/>
          <w:szCs w:val="28"/>
        </w:rPr>
      </w:pPr>
      <w:r>
        <w:rPr>
          <w:rFonts w:ascii="Times New Roman"/>
          <w:sz w:val="28"/>
          <w:szCs w:val="28"/>
        </w:rPr>
        <w:t>【文件3.1</w:t>
      </w:r>
      <w:r>
        <w:rPr>
          <w:rFonts w:hint="eastAsia" w:ascii="Times New Roman"/>
          <w:sz w:val="28"/>
          <w:szCs w:val="28"/>
          <w:lang w:val="en-US" w:eastAsia="zh-CN"/>
        </w:rPr>
        <w:t>6</w:t>
      </w:r>
      <w:r>
        <w:rPr>
          <w:rFonts w:ascii="Times New Roman"/>
          <w:sz w:val="28"/>
          <w:szCs w:val="28"/>
        </w:rPr>
        <w:t>条文说明】</w:t>
      </w:r>
      <w:r>
        <w:rPr>
          <w:rFonts w:hint="eastAsia" w:ascii="Times New Roman"/>
          <w:sz w:val="28"/>
          <w:szCs w:val="28"/>
        </w:rPr>
        <w:t>该定义参照《重庆市湖库生态修复适宜技术选择指南》（渝环办〔2017〕672 号）中2.</w:t>
      </w:r>
      <w:r>
        <w:rPr>
          <w:rFonts w:ascii="Times New Roman"/>
          <w:sz w:val="28"/>
          <w:szCs w:val="28"/>
        </w:rPr>
        <w:t>6</w:t>
      </w:r>
      <w:r>
        <w:rPr>
          <w:rFonts w:hint="eastAsia" w:ascii="Times New Roman"/>
          <w:sz w:val="28"/>
          <w:szCs w:val="28"/>
        </w:rPr>
        <w:t>的解释。</w:t>
      </w:r>
    </w:p>
    <w:p w14:paraId="7ECE3804">
      <w:pPr>
        <w:pStyle w:val="44"/>
        <w:widowControl w:val="0"/>
        <w:adjustRightInd w:val="0"/>
        <w:snapToGrid w:val="0"/>
        <w:spacing w:line="360" w:lineRule="auto"/>
        <w:ind w:firstLine="560"/>
        <w:rPr>
          <w:rFonts w:ascii="Times New Roman"/>
          <w:sz w:val="28"/>
          <w:szCs w:val="28"/>
        </w:rPr>
      </w:pPr>
      <w:r>
        <w:rPr>
          <w:rFonts w:ascii="Times New Roman"/>
          <w:sz w:val="28"/>
          <w:szCs w:val="28"/>
        </w:rPr>
        <w:t>【文件3.1</w:t>
      </w:r>
      <w:r>
        <w:rPr>
          <w:rFonts w:hint="eastAsia" w:ascii="Times New Roman"/>
          <w:sz w:val="28"/>
          <w:szCs w:val="28"/>
          <w:lang w:val="en-US" w:eastAsia="zh-CN"/>
        </w:rPr>
        <w:t>7</w:t>
      </w:r>
      <w:r>
        <w:rPr>
          <w:rFonts w:ascii="Times New Roman"/>
          <w:sz w:val="28"/>
          <w:szCs w:val="28"/>
        </w:rPr>
        <w:t>条文说明】</w:t>
      </w:r>
      <w:r>
        <w:rPr>
          <w:rFonts w:hint="eastAsia" w:ascii="Times New Roman"/>
          <w:sz w:val="28"/>
          <w:szCs w:val="28"/>
        </w:rPr>
        <w:t>指生活在浸没于水中的各种基质表面上的有机体集合群，包括基质上生长的所有生物，如细菌、真菌、藻类、原生动物、轮虫、甲壳动物、线虫、寡毛类、软体动物、鱼卵和幼鱼等。这些有机体往往被一层粘滑的、甚至毛茸茸的泥砂所覆盖。根据基质的性质可划分为附植生物（epiphyton）、附动生物（epizoon）、附木生物（epixylon）、附石生物（epilithon）等。根据附着的形式分为真周丛生物（euperiphyton）和伪周丛生物（pseudoperiphyton）</w:t>
      </w:r>
      <w:r>
        <w:rPr>
          <w:rFonts w:ascii="Times New Roman"/>
          <w:sz w:val="28"/>
          <w:szCs w:val="28"/>
        </w:rPr>
        <w:t>。</w:t>
      </w:r>
    </w:p>
    <w:p w14:paraId="43728C34">
      <w:pPr>
        <w:pStyle w:val="44"/>
        <w:widowControl w:val="0"/>
        <w:adjustRightInd w:val="0"/>
        <w:snapToGrid w:val="0"/>
        <w:spacing w:line="360" w:lineRule="auto"/>
        <w:ind w:firstLine="560"/>
        <w:rPr>
          <w:rFonts w:ascii="Times New Roman"/>
          <w:sz w:val="28"/>
          <w:szCs w:val="28"/>
        </w:rPr>
      </w:pPr>
      <w:r>
        <w:rPr>
          <w:rFonts w:ascii="Times New Roman"/>
          <w:sz w:val="28"/>
          <w:szCs w:val="28"/>
        </w:rPr>
        <w:t>【文件3.1</w:t>
      </w:r>
      <w:r>
        <w:rPr>
          <w:rFonts w:hint="eastAsia" w:ascii="Times New Roman"/>
          <w:sz w:val="28"/>
          <w:szCs w:val="28"/>
          <w:lang w:val="en-US" w:eastAsia="zh-CN"/>
        </w:rPr>
        <w:t>8</w:t>
      </w:r>
      <w:r>
        <w:rPr>
          <w:rFonts w:ascii="Times New Roman"/>
          <w:sz w:val="28"/>
          <w:szCs w:val="28"/>
        </w:rPr>
        <w:t>条文说明】</w:t>
      </w:r>
      <w:r>
        <w:rPr>
          <w:rFonts w:hint="eastAsia" w:ascii="Times New Roman"/>
          <w:sz w:val="28"/>
          <w:szCs w:val="28"/>
        </w:rPr>
        <w:t>指植物在不同季节表现的外貌。植物在一年四季的生长过程中，叶、花、果的形状和色彩随四季而变化</w:t>
      </w:r>
      <w:r>
        <w:rPr>
          <w:rFonts w:ascii="Times New Roman"/>
          <w:sz w:val="28"/>
          <w:szCs w:val="28"/>
        </w:rPr>
        <w:t>。</w:t>
      </w:r>
    </w:p>
    <w:p w14:paraId="2082A152">
      <w:pPr>
        <w:pStyle w:val="4"/>
        <w:numPr>
          <w:ilvl w:val="2"/>
          <w:numId w:val="0"/>
        </w:numPr>
        <w:bidi w:val="0"/>
        <w:ind w:left="0" w:leftChars="0" w:firstLine="0" w:firstLineChars="0"/>
        <w:rPr>
          <w:rFonts w:ascii="Times New Roman" w:hAnsi="Times New Roman" w:eastAsia="宋体" w:cs="Times New Roman"/>
        </w:rPr>
      </w:pPr>
      <w:bookmarkStart w:id="73" w:name="_Toc11670"/>
      <w:r>
        <w:rPr>
          <w:rFonts w:hint="eastAsia" w:cs="Times New Roman"/>
          <w:sz w:val="24"/>
          <w:szCs w:val="24"/>
          <w:lang w:val="en-US" w:eastAsia="zh-CN" w:bidi="ar-SA"/>
        </w:rPr>
        <w:t>5.2.</w:t>
      </w:r>
      <w:r>
        <w:rPr>
          <w:rFonts w:hint="default" w:ascii="Times New Roman" w:hAnsi="Times New Roman" w:eastAsia="宋体" w:cs="Times New Roman"/>
          <w:sz w:val="24"/>
          <w:szCs w:val="24"/>
          <w:lang w:val="en-US" w:eastAsia="zh-CN" w:bidi="ar-SA"/>
        </w:rPr>
        <w:t>4</w:t>
      </w:r>
      <w:r>
        <w:rPr>
          <w:rFonts w:hint="eastAsia" w:ascii="Times New Roman" w:hAnsi="Times New Roman" w:eastAsia="宋体" w:cs="Times New Roman"/>
        </w:rPr>
        <w:t>一般要求</w:t>
      </w:r>
      <w:bookmarkEnd w:id="73"/>
    </w:p>
    <w:p w14:paraId="0DEFF294">
      <w:pPr>
        <w:pStyle w:val="44"/>
        <w:widowControl w:val="0"/>
        <w:adjustRightInd w:val="0"/>
        <w:snapToGrid w:val="0"/>
        <w:spacing w:line="360" w:lineRule="auto"/>
        <w:ind w:firstLine="560"/>
        <w:rPr>
          <w:rFonts w:ascii="Times New Roman"/>
          <w:sz w:val="28"/>
          <w:szCs w:val="28"/>
        </w:rPr>
      </w:pPr>
      <w:r>
        <w:rPr>
          <w:rFonts w:ascii="Times New Roman"/>
          <w:sz w:val="28"/>
          <w:szCs w:val="28"/>
        </w:rPr>
        <w:t>【文件4.1条文说明】</w:t>
      </w:r>
      <w:r>
        <w:rPr>
          <w:rFonts w:hint="eastAsia" w:ascii="Times New Roman"/>
          <w:sz w:val="28"/>
          <w:szCs w:val="28"/>
        </w:rPr>
        <w:t>湖库生态修复应遵循系统规划、截污优先、分区分类、综合调控、经济适用的基本原则，根据水体所处水系位置、湖库规模、水热状态、水质目标、水文地形特点、水生态现状与修复目标、水体功能定位、开发利用现状、经济承受能力等具体情况，采用适宜的生态修复模式和工艺技术。</w:t>
      </w:r>
    </w:p>
    <w:p w14:paraId="56B62829">
      <w:pPr>
        <w:pStyle w:val="44"/>
        <w:adjustRightInd w:val="0"/>
        <w:snapToGrid w:val="0"/>
        <w:spacing w:line="360" w:lineRule="auto"/>
        <w:ind w:firstLine="560"/>
        <w:rPr>
          <w:rFonts w:ascii="Times New Roman"/>
          <w:sz w:val="28"/>
          <w:szCs w:val="28"/>
        </w:rPr>
      </w:pPr>
      <w:r>
        <w:rPr>
          <w:rFonts w:ascii="Times New Roman"/>
          <w:sz w:val="28"/>
          <w:szCs w:val="28"/>
        </w:rPr>
        <w:t>【文件4.2条文说明】</w:t>
      </w:r>
      <w:r>
        <w:rPr>
          <w:rFonts w:hint="eastAsia" w:ascii="Times New Roman"/>
          <w:sz w:val="28"/>
          <w:szCs w:val="28"/>
        </w:rPr>
        <w:t>湖库生态修复要遵循系统规划原则，综合分析湖库水环境问题和水污染特征，合理制定水质和水生态目标，针对性提出治理与修复任务，制定可行的总体方案和具体治理与修复计划。以水质、水生态目标为导向，明确湖库生态安全基线，细化湖库生态修复的步骤、阶段性目标、空间区域（含垂向和水平空间）、路线图、环境绩效值，进行阶段性目标经济技术可达性分析。坚持政府主导，鼓励多渠道融资，与当地社会经济发展、美丽江西建设要求、人民群众环境需求的相协调，与各行业部门的计划、规划相协调。</w:t>
      </w:r>
    </w:p>
    <w:p w14:paraId="21742A89">
      <w:pPr>
        <w:pStyle w:val="44"/>
        <w:adjustRightInd w:val="0"/>
        <w:snapToGrid w:val="0"/>
        <w:spacing w:line="360" w:lineRule="auto"/>
        <w:ind w:firstLine="560"/>
        <w:rPr>
          <w:rFonts w:ascii="Times New Roman"/>
          <w:sz w:val="28"/>
          <w:szCs w:val="28"/>
        </w:rPr>
      </w:pPr>
      <w:r>
        <w:rPr>
          <w:rFonts w:ascii="Times New Roman"/>
          <w:sz w:val="28"/>
          <w:szCs w:val="28"/>
        </w:rPr>
        <w:t>【文件4.3条文说明】</w:t>
      </w:r>
      <w:r>
        <w:rPr>
          <w:rFonts w:hint="eastAsia" w:ascii="Times New Roman"/>
          <w:sz w:val="28"/>
          <w:szCs w:val="28"/>
        </w:rPr>
        <w:t>湖库生态修复要遵循截污优先原则，优先对治理湖库的环湖、入湖河流沿线点、面源的污染进行拦截治理，削减特征污染物的总量。在污染源截污治理的基础上，再根据水体的实际特点有针对地开展生态修复。在污染源解析、水环境容量核算的基础上，确定优先截污治理的重点水质指标、重点控制区域、重点控制行业或单位。待湖库沿线（含上游来水）重点污染源拦截治理完成后，依据湖库水质、水生态改善目标来设计实施后续的水生态修复工程。</w:t>
      </w:r>
      <w:r>
        <w:rPr>
          <w:rFonts w:ascii="Times New Roman"/>
          <w:sz w:val="28"/>
          <w:szCs w:val="28"/>
        </w:rPr>
        <w:t>。</w:t>
      </w:r>
    </w:p>
    <w:p w14:paraId="3902E17C">
      <w:pPr>
        <w:pStyle w:val="44"/>
        <w:adjustRightInd w:val="0"/>
        <w:snapToGrid w:val="0"/>
        <w:spacing w:line="360" w:lineRule="auto"/>
        <w:ind w:firstLine="560"/>
        <w:rPr>
          <w:rFonts w:hint="eastAsia" w:ascii="Times New Roman"/>
          <w:sz w:val="28"/>
          <w:szCs w:val="28"/>
        </w:rPr>
      </w:pPr>
      <w:r>
        <w:rPr>
          <w:rFonts w:ascii="Times New Roman"/>
          <w:sz w:val="28"/>
          <w:szCs w:val="28"/>
        </w:rPr>
        <w:t>【文件4.</w:t>
      </w:r>
      <w:r>
        <w:rPr>
          <w:rFonts w:hint="eastAsia" w:ascii="Times New Roman"/>
          <w:sz w:val="28"/>
          <w:szCs w:val="28"/>
          <w:lang w:val="en-US" w:eastAsia="zh-CN"/>
        </w:rPr>
        <w:t>4</w:t>
      </w:r>
      <w:r>
        <w:rPr>
          <w:rFonts w:ascii="Times New Roman"/>
          <w:sz w:val="28"/>
          <w:szCs w:val="28"/>
        </w:rPr>
        <w:t>条文说明】</w:t>
      </w:r>
      <w:bookmarkStart w:id="74" w:name="_Hlk95490421"/>
      <w:r>
        <w:rPr>
          <w:rFonts w:hint="eastAsia" w:ascii="Times New Roman"/>
          <w:sz w:val="28"/>
          <w:szCs w:val="28"/>
        </w:rPr>
        <w:t>湖库生态修复要遵循综合调控原则，</w:t>
      </w:r>
      <w:bookmarkEnd w:id="74"/>
      <w:r>
        <w:rPr>
          <w:rFonts w:hint="eastAsia" w:ascii="Times New Roman"/>
          <w:sz w:val="28"/>
          <w:szCs w:val="28"/>
        </w:rPr>
        <w:t>湖库生态修复的主要目的是恢复生态系统完整性与多样性，提升湖库生态系统的抵抗力和短时或低强度损害后的恢复力。湖库生态修复以自然恢复为主，辅以人工强化生态修复工程。生态修复工程宜采用物理、化学、生物等综合技术原理与方法进行，通过人工强化的技术方法加快修复进程，提高水质、水生态目标的实现程度。湖库生态修复优先保障生态基流，在生态基流保障的基础上实施季节差异的修复设计。对水位波动较大的湖库，重点将水位波动幅度和水位控制设施运行情况纳入到生态修复的设计中，工程设计或施工应充分考虑工程物种的物候特点和水位变化特点。湖库生态修复宜开展“一湖（库）一策”式设计，充分考虑洪水破坏、牧食者和恶性入侵物种的影响，综合采用植物、动物和微生物等综合治理工艺方法进行。条件允许的湖库可实施食物网调控，进行精准的多层能级调控设计，恢复建成稳定的水生态系统。</w:t>
      </w:r>
    </w:p>
    <w:p w14:paraId="69484E3C">
      <w:pPr>
        <w:pStyle w:val="44"/>
        <w:widowControl w:val="0"/>
        <w:adjustRightInd w:val="0"/>
        <w:snapToGrid w:val="0"/>
        <w:spacing w:line="360" w:lineRule="auto"/>
        <w:ind w:firstLine="560"/>
        <w:rPr>
          <w:rFonts w:hint="eastAsia" w:ascii="Times New Roman"/>
          <w:sz w:val="28"/>
          <w:szCs w:val="28"/>
        </w:rPr>
      </w:pPr>
      <w:r>
        <w:rPr>
          <w:rFonts w:ascii="Times New Roman"/>
          <w:sz w:val="28"/>
          <w:szCs w:val="28"/>
        </w:rPr>
        <w:t>【文件4.</w:t>
      </w:r>
      <w:r>
        <w:rPr>
          <w:rFonts w:hint="eastAsia" w:ascii="Times New Roman"/>
          <w:sz w:val="28"/>
          <w:szCs w:val="28"/>
          <w:lang w:val="en-US" w:eastAsia="zh-CN"/>
        </w:rPr>
        <w:t>5</w:t>
      </w:r>
      <w:r>
        <w:rPr>
          <w:rFonts w:ascii="Times New Roman"/>
          <w:sz w:val="28"/>
          <w:szCs w:val="28"/>
        </w:rPr>
        <w:t>条文说明】</w:t>
      </w:r>
      <w:r>
        <w:rPr>
          <w:rFonts w:hint="eastAsia" w:ascii="Times New Roman"/>
          <w:sz w:val="28"/>
          <w:szCs w:val="28"/>
        </w:rPr>
        <w:t>湖库生态修复要遵循经济适用原则，充分考虑当地的社会经济发展水平和湖库治理的目标要求，宜设计适合当地实际的生态修复工程规模和任务布局。因地制宜地结合湖库水质特征、污染现状、流域与区域规划以及水质、水生态目标，宜选用经济适用、技术可行、简便好用、便于管理的生态修复技术方法。根据湖库的乡土水生生物群落特点和食物网结构，宜优先设计选取本地常见物种用于湖库生态修复，以降低投资成本和生态风险。</w:t>
      </w:r>
    </w:p>
    <w:p w14:paraId="2AE80AAC">
      <w:pPr>
        <w:pStyle w:val="4"/>
        <w:numPr>
          <w:ilvl w:val="2"/>
          <w:numId w:val="0"/>
        </w:numPr>
        <w:bidi w:val="0"/>
        <w:ind w:left="0" w:leftChars="0" w:firstLine="0" w:firstLineChars="0"/>
        <w:rPr>
          <w:rFonts w:hint="default" w:ascii="Times New Roman" w:hAnsi="Times New Roman" w:eastAsia="宋体" w:cs="Times New Roman"/>
          <w:lang w:val="en-US" w:eastAsia="zh-CN"/>
        </w:rPr>
      </w:pPr>
      <w:bookmarkStart w:id="75" w:name="_Toc11793"/>
      <w:r>
        <w:rPr>
          <w:rFonts w:hint="eastAsia" w:cs="Times New Roman"/>
          <w:sz w:val="24"/>
          <w:szCs w:val="24"/>
          <w:lang w:val="en-US" w:eastAsia="zh-CN" w:bidi="ar-SA"/>
        </w:rPr>
        <w:t>5.2.</w:t>
      </w:r>
      <w:r>
        <w:rPr>
          <w:rFonts w:hint="default" w:ascii="Times New Roman" w:hAnsi="Times New Roman" w:eastAsia="宋体" w:cs="Times New Roman"/>
          <w:sz w:val="24"/>
          <w:szCs w:val="24"/>
          <w:lang w:val="en-US" w:eastAsia="zh-CN" w:bidi="ar-SA"/>
        </w:rPr>
        <w:t>5</w:t>
      </w:r>
      <w:r>
        <w:rPr>
          <w:rFonts w:hint="eastAsia" w:ascii="Times New Roman" w:hAnsi="Times New Roman" w:eastAsia="宋体" w:cs="Times New Roman"/>
          <w:lang w:val="en-US" w:eastAsia="zh-CN"/>
        </w:rPr>
        <w:t>工作流程</w:t>
      </w:r>
      <w:bookmarkEnd w:id="75"/>
    </w:p>
    <w:p w14:paraId="3D27DE66">
      <w:pPr>
        <w:pStyle w:val="44"/>
        <w:widowControl w:val="0"/>
        <w:adjustRightInd w:val="0"/>
        <w:snapToGrid w:val="0"/>
        <w:spacing w:line="360" w:lineRule="auto"/>
        <w:ind w:firstLine="560"/>
        <w:rPr>
          <w:rFonts w:hint="default" w:ascii="Times New Roman" w:eastAsia="宋体"/>
          <w:sz w:val="28"/>
          <w:szCs w:val="28"/>
          <w:lang w:val="en-US" w:eastAsia="zh-CN"/>
        </w:rPr>
      </w:pPr>
      <w:r>
        <w:rPr>
          <w:rFonts w:hint="eastAsia" w:ascii="Times New Roman"/>
          <w:sz w:val="28"/>
          <w:szCs w:val="28"/>
          <w:lang w:val="en-US" w:eastAsia="zh-CN"/>
        </w:rPr>
        <w:t>本条文对水生生物修复工作流程进行了相关说明。</w:t>
      </w:r>
    </w:p>
    <w:p w14:paraId="6322DDF3">
      <w:pPr>
        <w:pStyle w:val="4"/>
        <w:numPr>
          <w:ilvl w:val="2"/>
          <w:numId w:val="0"/>
        </w:numPr>
        <w:bidi w:val="0"/>
        <w:ind w:left="0" w:leftChars="0" w:firstLine="0" w:firstLineChars="0"/>
        <w:rPr>
          <w:rFonts w:ascii="Times New Roman" w:hAnsi="Times New Roman" w:eastAsia="宋体" w:cs="Times New Roman"/>
        </w:rPr>
      </w:pPr>
      <w:bookmarkStart w:id="76" w:name="_Toc27709"/>
      <w:r>
        <w:rPr>
          <w:rFonts w:hint="eastAsia" w:cs="Times New Roman"/>
          <w:sz w:val="24"/>
          <w:szCs w:val="24"/>
          <w:lang w:val="en-US" w:eastAsia="zh-CN" w:bidi="ar-SA"/>
        </w:rPr>
        <w:t>5.2.</w:t>
      </w:r>
      <w:r>
        <w:rPr>
          <w:rFonts w:hint="default" w:ascii="Times New Roman" w:hAnsi="Times New Roman" w:eastAsia="宋体" w:cs="Times New Roman"/>
          <w:sz w:val="24"/>
          <w:szCs w:val="24"/>
          <w:lang w:val="en-US" w:eastAsia="zh-CN" w:bidi="ar-SA"/>
        </w:rPr>
        <w:t>6</w:t>
      </w:r>
      <w:r>
        <w:rPr>
          <w:rFonts w:hint="eastAsia" w:ascii="Times New Roman" w:hAnsi="Times New Roman" w:eastAsia="宋体" w:cs="Times New Roman"/>
        </w:rPr>
        <w:t>生态湿地</w:t>
      </w:r>
      <w:bookmarkEnd w:id="76"/>
    </w:p>
    <w:p w14:paraId="42DB2DAC">
      <w:pPr>
        <w:adjustRightInd w:val="0"/>
        <w:snapToGrid w:val="0"/>
        <w:spacing w:line="360" w:lineRule="auto"/>
        <w:ind w:firstLine="560"/>
        <w:rPr>
          <w:sz w:val="28"/>
          <w:szCs w:val="24"/>
          <w:lang w:eastAsia="zh-CN"/>
        </w:rPr>
      </w:pPr>
      <w:r>
        <w:rPr>
          <w:sz w:val="28"/>
          <w:szCs w:val="24"/>
          <w:lang w:eastAsia="zh-CN"/>
        </w:rPr>
        <w:t>本文件对</w:t>
      </w:r>
      <w:r>
        <w:rPr>
          <w:rFonts w:hint="eastAsia"/>
          <w:sz w:val="28"/>
          <w:szCs w:val="24"/>
          <w:lang w:eastAsia="zh-CN"/>
        </w:rPr>
        <w:t>生态湿地的适用范围、技术要点、技术方法和限制因素</w:t>
      </w:r>
      <w:r>
        <w:rPr>
          <w:sz w:val="28"/>
          <w:szCs w:val="24"/>
          <w:lang w:eastAsia="zh-CN"/>
        </w:rPr>
        <w:t>进行了相关说明。</w:t>
      </w:r>
    </w:p>
    <w:p w14:paraId="1C6454C8">
      <w:pPr>
        <w:spacing w:line="360" w:lineRule="auto"/>
        <w:ind w:firstLine="560"/>
        <w:rPr>
          <w:sz w:val="28"/>
          <w:szCs w:val="28"/>
          <w:lang w:eastAsia="zh-CN"/>
        </w:rPr>
      </w:pPr>
      <w:r>
        <w:rPr>
          <w:sz w:val="28"/>
          <w:szCs w:val="28"/>
          <w:lang w:eastAsia="zh-CN"/>
        </w:rPr>
        <w:t>【文件</w:t>
      </w:r>
      <w:r>
        <w:rPr>
          <w:rFonts w:hint="eastAsia"/>
          <w:sz w:val="28"/>
          <w:szCs w:val="28"/>
          <w:lang w:val="en-US" w:eastAsia="zh-CN"/>
        </w:rPr>
        <w:t>6</w:t>
      </w:r>
      <w:r>
        <w:rPr>
          <w:sz w:val="28"/>
          <w:szCs w:val="28"/>
          <w:lang w:eastAsia="zh-CN"/>
        </w:rPr>
        <w:t>.1条文说明】</w:t>
      </w:r>
      <w:r>
        <w:rPr>
          <w:rFonts w:hint="eastAsia"/>
          <w:sz w:val="28"/>
          <w:szCs w:val="28"/>
          <w:lang w:eastAsia="zh-CN"/>
        </w:rPr>
        <w:t>生态湿地适用于水体富营养化相对严重的湖库浅水区域，且易于布置工程措施的待治理区域。通常为降雨径流的汇水通道末端，湖体岸线坡度通常小于10度。</w:t>
      </w:r>
    </w:p>
    <w:p w14:paraId="7DF29C3C">
      <w:pPr>
        <w:spacing w:line="360" w:lineRule="auto"/>
        <w:ind w:firstLine="560"/>
        <w:rPr>
          <w:rFonts w:hint="eastAsia"/>
          <w:sz w:val="28"/>
          <w:szCs w:val="28"/>
          <w:lang w:eastAsia="zh-CN"/>
        </w:rPr>
      </w:pPr>
      <w:r>
        <w:rPr>
          <w:sz w:val="28"/>
          <w:szCs w:val="28"/>
          <w:lang w:eastAsia="zh-CN"/>
        </w:rPr>
        <w:t>【文件</w:t>
      </w:r>
      <w:r>
        <w:rPr>
          <w:rFonts w:hint="eastAsia"/>
          <w:sz w:val="28"/>
          <w:szCs w:val="28"/>
          <w:lang w:val="en-US" w:eastAsia="zh-CN"/>
        </w:rPr>
        <w:t>6</w:t>
      </w:r>
      <w:r>
        <w:rPr>
          <w:sz w:val="28"/>
          <w:szCs w:val="28"/>
          <w:lang w:eastAsia="zh-CN"/>
        </w:rPr>
        <w:t>.2条文说明】</w:t>
      </w:r>
      <w:r>
        <w:rPr>
          <w:rFonts w:hint="eastAsia"/>
          <w:sz w:val="28"/>
          <w:szCs w:val="28"/>
          <w:lang w:eastAsia="zh-CN"/>
        </w:rPr>
        <w:t>湖湾区水体往往具备流动性较差、参与水体循环较少的特点，湖湾水质自净能力弱。湖湾区通常为径流汇聚区，其受污染相对明显。浅水区水体深度往往适宜种植水生植物且易于布置工程措施。有条件的湖库可考虑将湖湾区改造成具有较强净化水质能力的生态湿地，以强化处理来水，提升湖湾区的水体自净能力。</w:t>
      </w:r>
      <w:r>
        <w:rPr>
          <w:rFonts w:hint="eastAsia" w:ascii="Times New Roman" w:eastAsia="宋体"/>
          <w:sz w:val="28"/>
          <w:szCs w:val="24"/>
        </w:rPr>
        <w:t>生态湿地规模</w:t>
      </w:r>
      <w:r>
        <w:rPr>
          <w:rFonts w:hint="eastAsia" w:ascii="Times New Roman" w:eastAsia="宋体"/>
          <w:sz w:val="28"/>
          <w:szCs w:val="24"/>
          <w:lang w:val="en-US" w:eastAsia="zh-CN"/>
        </w:rPr>
        <w:t>视湖库实际待治理区域面积而定，一般面积不超过3000 m</w:t>
      </w:r>
      <w:r>
        <w:rPr>
          <w:rFonts w:hint="eastAsia" w:ascii="Times New Roman" w:eastAsia="宋体"/>
          <w:sz w:val="28"/>
          <w:szCs w:val="24"/>
          <w:vertAlign w:val="superscript"/>
          <w:lang w:val="en-US" w:eastAsia="zh-CN"/>
        </w:rPr>
        <w:t>2</w:t>
      </w:r>
    </w:p>
    <w:p w14:paraId="46EDCC81">
      <w:pPr>
        <w:spacing w:line="360" w:lineRule="auto"/>
        <w:ind w:firstLine="560"/>
        <w:rPr>
          <w:rFonts w:hint="eastAsia"/>
          <w:sz w:val="28"/>
          <w:szCs w:val="28"/>
          <w:lang w:eastAsia="zh-CN"/>
        </w:rPr>
      </w:pPr>
      <w:r>
        <w:rPr>
          <w:rFonts w:hint="eastAsia"/>
          <w:sz w:val="28"/>
          <w:szCs w:val="28"/>
          <w:lang w:eastAsia="zh-CN"/>
        </w:rPr>
        <w:t>生态湿地宜设置在一定的长宽比及底面有坡度的洼地中，由土壤和填料（如卵石、砾石、细砂等）混合组成填料床，湖水可在床体的填料缝隙中曲折流动或在床体表面流动。</w:t>
      </w:r>
    </w:p>
    <w:p w14:paraId="4AC7AF58">
      <w:pPr>
        <w:spacing w:line="360" w:lineRule="auto"/>
        <w:ind w:firstLine="560"/>
        <w:rPr>
          <w:sz w:val="28"/>
          <w:szCs w:val="28"/>
          <w:lang w:eastAsia="zh-CN"/>
        </w:rPr>
      </w:pPr>
      <w:r>
        <w:rPr>
          <w:rFonts w:hint="eastAsia"/>
          <w:sz w:val="28"/>
          <w:szCs w:val="28"/>
          <w:lang w:eastAsia="zh-CN"/>
        </w:rPr>
        <w:t>在床体的表面宜种植具有净化性能好、成活率高的水生植物，以形成独特的水生植被生境和水体净化系统。</w:t>
      </w:r>
    </w:p>
    <w:p w14:paraId="2477B56E">
      <w:pPr>
        <w:spacing w:line="360" w:lineRule="auto"/>
        <w:ind w:firstLine="560"/>
        <w:rPr>
          <w:rFonts w:hint="eastAsia"/>
          <w:sz w:val="28"/>
          <w:szCs w:val="28"/>
          <w:lang w:eastAsia="zh-CN"/>
        </w:rPr>
      </w:pPr>
      <w:r>
        <w:rPr>
          <w:sz w:val="28"/>
          <w:szCs w:val="28"/>
          <w:lang w:eastAsia="zh-CN"/>
        </w:rPr>
        <w:t>【文件</w:t>
      </w:r>
      <w:r>
        <w:rPr>
          <w:rFonts w:hint="eastAsia"/>
          <w:sz w:val="28"/>
          <w:szCs w:val="28"/>
          <w:lang w:val="en-US" w:eastAsia="zh-CN"/>
        </w:rPr>
        <w:t>6</w:t>
      </w:r>
      <w:r>
        <w:rPr>
          <w:sz w:val="28"/>
          <w:szCs w:val="28"/>
          <w:lang w:eastAsia="zh-CN"/>
        </w:rPr>
        <w:t>.3条文说明】</w:t>
      </w:r>
      <w:r>
        <w:rPr>
          <w:rFonts w:hint="eastAsia"/>
          <w:sz w:val="28"/>
          <w:szCs w:val="28"/>
          <w:lang w:eastAsia="zh-CN"/>
        </w:rPr>
        <w:t>生态湿地建设初期应清除湖湾原有的淤泥所积累的氮磷、重金属等污染物以及表面各类垃圾，在坡度较缓区域通过铺设一定量的卵石并提供种植基质以便种植具有净化功能的水生植物，通过水生植物及其附生微生物的自然降解作用可净化受污染的水体。</w:t>
      </w:r>
    </w:p>
    <w:p w14:paraId="0BD4F3A2">
      <w:pPr>
        <w:spacing w:line="360" w:lineRule="auto"/>
        <w:ind w:firstLine="560"/>
        <w:rPr>
          <w:rFonts w:hint="eastAsia"/>
          <w:sz w:val="28"/>
          <w:szCs w:val="28"/>
          <w:lang w:eastAsia="zh-CN"/>
        </w:rPr>
      </w:pPr>
      <w:r>
        <w:rPr>
          <w:rFonts w:hint="eastAsia"/>
          <w:sz w:val="28"/>
          <w:szCs w:val="28"/>
          <w:lang w:eastAsia="zh-CN"/>
        </w:rPr>
        <w:t>生态湿地可组合种植具有优良净化功能的挺水植物或沉水、浮叶植物，适宜物种的适用性详见附录A。水生植物的选用宜以常年生长兼具景观效果的物种为佳，同时宜选用冬春季相、夏秋季相的物种进行组合，以保障常年的净化效果。</w:t>
      </w:r>
    </w:p>
    <w:p w14:paraId="7E81D022">
      <w:pPr>
        <w:spacing w:line="360" w:lineRule="auto"/>
        <w:ind w:firstLine="560"/>
        <w:rPr>
          <w:sz w:val="28"/>
          <w:szCs w:val="28"/>
          <w:lang w:eastAsia="zh-CN"/>
        </w:rPr>
      </w:pPr>
      <w:r>
        <w:rPr>
          <w:rFonts w:hint="eastAsia"/>
          <w:sz w:val="28"/>
          <w:szCs w:val="28"/>
          <w:lang w:eastAsia="zh-CN"/>
        </w:rPr>
        <w:t>生态湿地的进水前端宜设置具有配水功能的木桩栅栏以起到稳定湿地种植床的作用，防止种植床内填料的流失以及植被受到风浪、水流等物理性破坏，同时可将湖水进行适度导流分配。</w:t>
      </w:r>
    </w:p>
    <w:p w14:paraId="69FB5394">
      <w:pPr>
        <w:spacing w:line="360" w:lineRule="auto"/>
        <w:ind w:firstLine="560"/>
        <w:rPr>
          <w:rFonts w:hint="eastAsia"/>
          <w:sz w:val="28"/>
          <w:szCs w:val="28"/>
          <w:lang w:eastAsia="zh-CN"/>
        </w:rPr>
      </w:pPr>
      <w:r>
        <w:rPr>
          <w:sz w:val="28"/>
          <w:szCs w:val="28"/>
          <w:lang w:eastAsia="zh-CN"/>
        </w:rPr>
        <w:t>【文件</w:t>
      </w:r>
      <w:r>
        <w:rPr>
          <w:rFonts w:hint="eastAsia"/>
          <w:sz w:val="28"/>
          <w:szCs w:val="28"/>
          <w:lang w:val="en-US" w:eastAsia="zh-CN"/>
        </w:rPr>
        <w:t>6</w:t>
      </w:r>
      <w:r>
        <w:rPr>
          <w:sz w:val="28"/>
          <w:szCs w:val="28"/>
          <w:lang w:eastAsia="zh-CN"/>
        </w:rPr>
        <w:t>.4条文说明】</w:t>
      </w:r>
      <w:r>
        <w:rPr>
          <w:rFonts w:hint="eastAsia"/>
          <w:sz w:val="28"/>
          <w:szCs w:val="28"/>
          <w:lang w:eastAsia="zh-CN"/>
        </w:rPr>
        <w:t>植物生存养护期应注意对枯死植物的清理及收割，防止植物死亡对水体造成的二次污染。在植物萌发期及生长初期（冬春季相为10~12月，夏秋季相为3~4月）应避免水位过快增加或长时间高水位（持续2个月及以上）而导致植物淹死。</w:t>
      </w:r>
    </w:p>
    <w:p w14:paraId="0AB204FC">
      <w:pPr>
        <w:pStyle w:val="4"/>
        <w:numPr>
          <w:ilvl w:val="2"/>
          <w:numId w:val="0"/>
        </w:numPr>
        <w:bidi w:val="0"/>
        <w:ind w:left="0" w:leftChars="0" w:firstLine="0" w:firstLineChars="0"/>
        <w:rPr>
          <w:rFonts w:ascii="Times New Roman" w:hAnsi="Times New Roman" w:eastAsia="宋体" w:cs="Times New Roman"/>
        </w:rPr>
      </w:pPr>
      <w:bookmarkStart w:id="77" w:name="_Toc28044"/>
      <w:r>
        <w:rPr>
          <w:rFonts w:hint="eastAsia" w:cs="Times New Roman"/>
          <w:sz w:val="24"/>
          <w:szCs w:val="24"/>
          <w:lang w:val="en-US" w:eastAsia="zh-CN" w:bidi="ar-SA"/>
        </w:rPr>
        <w:t>5.2.</w:t>
      </w:r>
      <w:r>
        <w:rPr>
          <w:rFonts w:hint="default" w:ascii="Times New Roman" w:hAnsi="Times New Roman" w:eastAsia="宋体" w:cs="Times New Roman"/>
          <w:sz w:val="24"/>
          <w:szCs w:val="24"/>
          <w:lang w:val="en-US" w:eastAsia="zh-CN" w:bidi="ar-SA"/>
        </w:rPr>
        <w:t>7</w:t>
      </w:r>
      <w:r>
        <w:rPr>
          <w:rFonts w:hint="eastAsia" w:ascii="Times New Roman" w:hAnsi="Times New Roman" w:eastAsia="宋体" w:cs="Times New Roman"/>
        </w:rPr>
        <w:t>人工浮岛</w:t>
      </w:r>
      <w:bookmarkEnd w:id="77"/>
    </w:p>
    <w:p w14:paraId="5A311951">
      <w:pPr>
        <w:spacing w:line="360" w:lineRule="auto"/>
        <w:ind w:firstLine="560"/>
        <w:rPr>
          <w:sz w:val="28"/>
          <w:szCs w:val="24"/>
          <w:lang w:eastAsia="zh-CN"/>
        </w:rPr>
      </w:pPr>
      <w:r>
        <w:rPr>
          <w:rFonts w:hint="eastAsia"/>
          <w:sz w:val="28"/>
          <w:szCs w:val="24"/>
          <w:lang w:eastAsia="zh-CN"/>
        </w:rPr>
        <w:t>本文件对人工浮岛的适用范围、技术要点、技术方法和限制因素进行了相关说明。</w:t>
      </w:r>
    </w:p>
    <w:p w14:paraId="62F3A970">
      <w:pPr>
        <w:spacing w:line="360" w:lineRule="auto"/>
        <w:ind w:firstLine="560"/>
        <w:rPr>
          <w:sz w:val="28"/>
          <w:szCs w:val="28"/>
          <w:lang w:eastAsia="zh-CN"/>
        </w:rPr>
      </w:pPr>
      <w:r>
        <w:rPr>
          <w:sz w:val="28"/>
          <w:szCs w:val="28"/>
          <w:lang w:eastAsia="zh-CN"/>
        </w:rPr>
        <w:t>【文件</w:t>
      </w:r>
      <w:r>
        <w:rPr>
          <w:rFonts w:hint="eastAsia"/>
          <w:sz w:val="28"/>
          <w:szCs w:val="28"/>
          <w:lang w:val="en-US" w:eastAsia="zh-CN"/>
        </w:rPr>
        <w:t>7</w:t>
      </w:r>
      <w:r>
        <w:rPr>
          <w:sz w:val="28"/>
          <w:szCs w:val="28"/>
          <w:lang w:eastAsia="zh-CN"/>
        </w:rPr>
        <w:t>.1条文说明】</w:t>
      </w:r>
      <w:r>
        <w:rPr>
          <w:rFonts w:hint="eastAsia"/>
          <w:sz w:val="28"/>
          <w:szCs w:val="28"/>
          <w:lang w:eastAsia="zh-CN"/>
        </w:rPr>
        <w:t>人工浮岛适用于湖库水域面积较大但湖体的浅水区域较少。水体较深或湖底基质坚硬，缺乏建设岸带修复工程条件的湖库。</w:t>
      </w:r>
    </w:p>
    <w:p w14:paraId="5411213A">
      <w:pPr>
        <w:spacing w:line="360" w:lineRule="auto"/>
        <w:ind w:firstLine="560"/>
        <w:rPr>
          <w:rFonts w:hint="eastAsia"/>
          <w:sz w:val="28"/>
          <w:szCs w:val="28"/>
          <w:lang w:eastAsia="zh-CN"/>
        </w:rPr>
      </w:pPr>
      <w:r>
        <w:rPr>
          <w:sz w:val="28"/>
          <w:szCs w:val="28"/>
          <w:lang w:eastAsia="zh-CN"/>
        </w:rPr>
        <w:t>【文件</w:t>
      </w:r>
      <w:r>
        <w:rPr>
          <w:rFonts w:hint="eastAsia"/>
          <w:sz w:val="28"/>
          <w:szCs w:val="28"/>
          <w:lang w:val="en-US" w:eastAsia="zh-CN"/>
        </w:rPr>
        <w:t>7</w:t>
      </w:r>
      <w:r>
        <w:rPr>
          <w:sz w:val="28"/>
          <w:szCs w:val="28"/>
          <w:lang w:eastAsia="zh-CN"/>
        </w:rPr>
        <w:t>.2条文说明】</w:t>
      </w:r>
      <w:r>
        <w:rPr>
          <w:rFonts w:hint="eastAsia"/>
          <w:sz w:val="28"/>
          <w:szCs w:val="28"/>
          <w:lang w:eastAsia="zh-CN"/>
        </w:rPr>
        <w:t>人工浮岛主要是通过植物的根系来达到净化水体的效果，浮岛植物的根系一方面可以吸收和吸附水中的含氮、磷物质；另一方面根系可以分泌部分酶类促进水中有机物的降解；并且根系与微生物可形成相互协同效应，共同降解水中的营养盐类。</w:t>
      </w:r>
    </w:p>
    <w:p w14:paraId="6CB18C14">
      <w:pPr>
        <w:spacing w:line="360" w:lineRule="auto"/>
        <w:ind w:firstLine="560"/>
        <w:rPr>
          <w:sz w:val="28"/>
          <w:szCs w:val="28"/>
          <w:lang w:eastAsia="zh-CN"/>
        </w:rPr>
      </w:pPr>
      <w:r>
        <w:rPr>
          <w:rFonts w:hint="eastAsia"/>
          <w:sz w:val="28"/>
          <w:szCs w:val="28"/>
          <w:lang w:eastAsia="zh-CN"/>
        </w:rPr>
        <w:t>除净化污染水质，防止水华外，人工浮岛还为高等水生动植物及鸟类提供了良好的栖息地，有利于增加水体生物多样性，促进生态恢复。</w:t>
      </w:r>
    </w:p>
    <w:p w14:paraId="2C192F0F">
      <w:pPr>
        <w:spacing w:line="360" w:lineRule="auto"/>
        <w:ind w:firstLine="560"/>
        <w:rPr>
          <w:rFonts w:hint="eastAsia"/>
          <w:sz w:val="28"/>
          <w:szCs w:val="28"/>
          <w:lang w:eastAsia="zh-CN"/>
        </w:rPr>
      </w:pPr>
      <w:r>
        <w:rPr>
          <w:sz w:val="28"/>
          <w:szCs w:val="28"/>
          <w:lang w:eastAsia="zh-CN"/>
        </w:rPr>
        <w:t>【文件</w:t>
      </w:r>
      <w:r>
        <w:rPr>
          <w:rFonts w:hint="eastAsia"/>
          <w:sz w:val="28"/>
          <w:szCs w:val="28"/>
          <w:lang w:val="en-US" w:eastAsia="zh-CN"/>
        </w:rPr>
        <w:t>7</w:t>
      </w:r>
      <w:r>
        <w:rPr>
          <w:sz w:val="28"/>
          <w:szCs w:val="28"/>
          <w:lang w:eastAsia="zh-CN"/>
        </w:rPr>
        <w:t>.3条文说明】</w:t>
      </w:r>
      <w:r>
        <w:rPr>
          <w:rFonts w:hint="eastAsia"/>
          <w:sz w:val="28"/>
          <w:szCs w:val="28"/>
          <w:lang w:eastAsia="zh-CN"/>
        </w:rPr>
        <w:t>人工浮岛的结构可设置成矩形、圆形、弧形等，按水和植物是否接触可设计成湿式与干式两种类型，浮岛载体可选择PVC管、泡沫、竹子、木头等，人工浮岛种植植物可选用千屈菜、水菖蒲、鸢尾、美人蕉、铜钱草、香蒲、彩叶草等。</w:t>
      </w:r>
    </w:p>
    <w:p w14:paraId="4A99AC79">
      <w:pPr>
        <w:spacing w:line="360" w:lineRule="auto"/>
        <w:ind w:firstLine="560"/>
        <w:rPr>
          <w:rFonts w:hint="eastAsia"/>
          <w:sz w:val="28"/>
          <w:szCs w:val="28"/>
          <w:lang w:eastAsia="zh-CN"/>
        </w:rPr>
      </w:pPr>
      <w:r>
        <w:rPr>
          <w:rFonts w:hint="eastAsia"/>
          <w:sz w:val="28"/>
          <w:szCs w:val="28"/>
          <w:lang w:eastAsia="zh-CN"/>
        </w:rPr>
        <w:t>根据湖库的水深特点，可采用无载体的浮岛形式，直接采用菱角、芡实、水白菜等漂浮生植被形成生态浮岛，浮岛外可用浮材圈围，避免浮叶植物的随意飘散。</w:t>
      </w:r>
    </w:p>
    <w:p w14:paraId="27F49071">
      <w:pPr>
        <w:spacing w:line="360" w:lineRule="auto"/>
        <w:ind w:firstLine="560"/>
        <w:rPr>
          <w:sz w:val="28"/>
          <w:szCs w:val="28"/>
          <w:lang w:eastAsia="zh-CN"/>
        </w:rPr>
      </w:pPr>
      <w:r>
        <w:rPr>
          <w:rFonts w:hint="eastAsia"/>
          <w:sz w:val="28"/>
          <w:szCs w:val="28"/>
          <w:lang w:eastAsia="zh-CN"/>
        </w:rPr>
        <w:t>含载体生态浮岛的单体面积一般为2~5 m</w:t>
      </w:r>
      <w:r>
        <w:rPr>
          <w:rFonts w:hint="eastAsia"/>
          <w:sz w:val="28"/>
          <w:szCs w:val="28"/>
          <w:vertAlign w:val="superscript"/>
          <w:lang w:eastAsia="zh-CN"/>
        </w:rPr>
        <w:t>2</w:t>
      </w:r>
      <w:r>
        <w:rPr>
          <w:rFonts w:hint="eastAsia"/>
          <w:sz w:val="28"/>
          <w:szCs w:val="28"/>
          <w:lang w:eastAsia="zh-CN"/>
        </w:rPr>
        <w:t>，浮岛通常覆盖水面面积需达到20%~30%方可产生一定的净化效果。</w:t>
      </w:r>
    </w:p>
    <w:p w14:paraId="6231445B">
      <w:pPr>
        <w:spacing w:line="360" w:lineRule="auto"/>
        <w:ind w:firstLine="560"/>
        <w:rPr>
          <w:rFonts w:hint="eastAsia"/>
          <w:sz w:val="28"/>
          <w:szCs w:val="28"/>
          <w:lang w:eastAsia="zh-CN"/>
        </w:rPr>
      </w:pPr>
      <w:r>
        <w:rPr>
          <w:sz w:val="28"/>
          <w:szCs w:val="28"/>
          <w:lang w:eastAsia="zh-CN"/>
        </w:rPr>
        <w:t>【文件</w:t>
      </w:r>
      <w:r>
        <w:rPr>
          <w:rFonts w:hint="eastAsia"/>
          <w:sz w:val="28"/>
          <w:szCs w:val="28"/>
          <w:lang w:val="en-US" w:eastAsia="zh-CN"/>
        </w:rPr>
        <w:t>7</w:t>
      </w:r>
      <w:r>
        <w:rPr>
          <w:sz w:val="28"/>
          <w:szCs w:val="28"/>
          <w:lang w:eastAsia="zh-CN"/>
        </w:rPr>
        <w:t>.4条文说明】</w:t>
      </w:r>
      <w:r>
        <w:rPr>
          <w:rFonts w:hint="eastAsia"/>
          <w:sz w:val="28"/>
          <w:szCs w:val="28"/>
          <w:lang w:eastAsia="zh-CN"/>
        </w:rPr>
        <w:t>人工浮岛上的植物需进行适时的收割和更新，在天气较冷的区域，部分植物需重新种植。</w:t>
      </w:r>
    </w:p>
    <w:p w14:paraId="5D8D69B2">
      <w:pPr>
        <w:spacing w:line="360" w:lineRule="auto"/>
        <w:ind w:firstLine="560"/>
        <w:rPr>
          <w:rFonts w:hint="eastAsia"/>
          <w:sz w:val="28"/>
          <w:szCs w:val="28"/>
          <w:lang w:eastAsia="zh-CN"/>
        </w:rPr>
      </w:pPr>
      <w:r>
        <w:rPr>
          <w:rFonts w:hint="eastAsia"/>
          <w:sz w:val="28"/>
          <w:szCs w:val="28"/>
          <w:lang w:eastAsia="zh-CN"/>
        </w:rPr>
        <w:t>由于人工浮岛受建设宽度影响，在植被生长茂盛后难以靠近或抵达制定浮床浮块开展维护工作，导致后期浮床内部植被生长旺盛，难以抵近维护，植被在内部生长、腐烂，易造成二次污染。</w:t>
      </w:r>
    </w:p>
    <w:p w14:paraId="748B0C37">
      <w:pPr>
        <w:spacing w:line="360" w:lineRule="auto"/>
        <w:ind w:firstLine="560"/>
        <w:rPr>
          <w:rFonts w:hint="eastAsia"/>
          <w:sz w:val="28"/>
          <w:szCs w:val="28"/>
          <w:lang w:eastAsia="zh-CN"/>
        </w:rPr>
      </w:pPr>
      <w:r>
        <w:rPr>
          <w:rFonts w:hint="eastAsia"/>
          <w:sz w:val="28"/>
          <w:szCs w:val="28"/>
          <w:lang w:eastAsia="zh-CN"/>
        </w:rPr>
        <w:t>部分湖库的人工浮岛中往往混有污水中的垃圾、纸屑、塑料袋等，若不及时清理，易发生积累，导致对观感的影响。</w:t>
      </w:r>
    </w:p>
    <w:p w14:paraId="4028E815">
      <w:pPr>
        <w:pStyle w:val="4"/>
        <w:numPr>
          <w:ilvl w:val="2"/>
          <w:numId w:val="0"/>
        </w:numPr>
        <w:bidi w:val="0"/>
        <w:ind w:left="0" w:leftChars="0" w:firstLine="0" w:firstLineChars="0"/>
        <w:rPr>
          <w:rFonts w:ascii="Times New Roman" w:hAnsi="Times New Roman" w:eastAsia="宋体" w:cs="Times New Roman"/>
        </w:rPr>
      </w:pPr>
      <w:bookmarkStart w:id="78" w:name="_Toc1557"/>
      <w:r>
        <w:rPr>
          <w:rFonts w:hint="eastAsia" w:cs="Times New Roman"/>
          <w:sz w:val="24"/>
          <w:szCs w:val="24"/>
          <w:lang w:val="en-US" w:eastAsia="zh-CN" w:bidi="ar-SA"/>
        </w:rPr>
        <w:t>5.2.</w:t>
      </w:r>
      <w:r>
        <w:rPr>
          <w:rFonts w:hint="default" w:ascii="Times New Roman" w:hAnsi="Times New Roman" w:eastAsia="宋体" w:cs="Times New Roman"/>
          <w:sz w:val="24"/>
          <w:szCs w:val="24"/>
          <w:lang w:val="en-US" w:eastAsia="zh-CN" w:bidi="ar-SA"/>
        </w:rPr>
        <w:t>8</w:t>
      </w:r>
      <w:r>
        <w:rPr>
          <w:rFonts w:hint="eastAsia" w:ascii="Times New Roman" w:hAnsi="Times New Roman" w:eastAsia="宋体" w:cs="Times New Roman"/>
        </w:rPr>
        <w:t>生物操纵</w:t>
      </w:r>
      <w:bookmarkEnd w:id="78"/>
    </w:p>
    <w:p w14:paraId="3DD7C183">
      <w:pPr>
        <w:pStyle w:val="44"/>
        <w:widowControl w:val="0"/>
        <w:adjustRightInd w:val="0"/>
        <w:snapToGrid w:val="0"/>
        <w:spacing w:line="360" w:lineRule="auto"/>
        <w:ind w:firstLine="560"/>
        <w:rPr>
          <w:rFonts w:ascii="Times New Roman"/>
          <w:sz w:val="28"/>
          <w:szCs w:val="28"/>
        </w:rPr>
      </w:pPr>
      <w:bookmarkStart w:id="79" w:name="_Hlk95492175"/>
      <w:r>
        <w:rPr>
          <w:rFonts w:hint="eastAsia" w:ascii="Times New Roman"/>
          <w:sz w:val="28"/>
          <w:szCs w:val="28"/>
        </w:rPr>
        <w:t>本文件对生物操纵的适用范围、技术要点、技术方法和限制因素进行了相关说明。</w:t>
      </w:r>
      <w:bookmarkEnd w:id="79"/>
    </w:p>
    <w:p w14:paraId="1874612B">
      <w:pPr>
        <w:pStyle w:val="44"/>
        <w:widowControl w:val="0"/>
        <w:adjustRightInd w:val="0"/>
        <w:snapToGrid w:val="0"/>
        <w:spacing w:line="360" w:lineRule="auto"/>
        <w:ind w:firstLine="560"/>
        <w:rPr>
          <w:rFonts w:ascii="Times New Roman"/>
          <w:sz w:val="28"/>
          <w:szCs w:val="28"/>
        </w:rPr>
      </w:pPr>
      <w:r>
        <w:rPr>
          <w:rFonts w:ascii="Times New Roman"/>
          <w:sz w:val="28"/>
          <w:szCs w:val="28"/>
        </w:rPr>
        <w:t>【文件</w:t>
      </w:r>
      <w:r>
        <w:rPr>
          <w:rFonts w:hint="eastAsia" w:ascii="Times New Roman"/>
          <w:sz w:val="28"/>
          <w:szCs w:val="28"/>
          <w:lang w:val="en-US" w:eastAsia="zh-CN"/>
        </w:rPr>
        <w:t>8</w:t>
      </w:r>
      <w:r>
        <w:rPr>
          <w:rFonts w:ascii="Times New Roman"/>
          <w:sz w:val="28"/>
          <w:szCs w:val="28"/>
        </w:rPr>
        <w:t>.1条文说明】</w:t>
      </w:r>
      <w:r>
        <w:rPr>
          <w:rFonts w:hint="eastAsia" w:ascii="Times New Roman"/>
          <w:sz w:val="28"/>
          <w:szCs w:val="28"/>
        </w:rPr>
        <w:t>适用于新挖、清淤后湖库等底栖生态不完善的水体，通过底栖生态系统的恢复与构建，保持食物链（网）完整性以及生态系统的稳定性。</w:t>
      </w:r>
    </w:p>
    <w:p w14:paraId="0A5DF771">
      <w:pPr>
        <w:pStyle w:val="44"/>
        <w:adjustRightInd w:val="0"/>
        <w:snapToGrid w:val="0"/>
        <w:spacing w:line="360" w:lineRule="auto"/>
        <w:ind w:firstLine="560"/>
        <w:rPr>
          <w:rFonts w:hint="eastAsia" w:ascii="Times New Roman"/>
          <w:sz w:val="28"/>
          <w:szCs w:val="28"/>
        </w:rPr>
      </w:pPr>
      <w:r>
        <w:rPr>
          <w:rFonts w:ascii="Times New Roman"/>
          <w:sz w:val="28"/>
          <w:szCs w:val="28"/>
        </w:rPr>
        <w:t>【文件</w:t>
      </w:r>
      <w:r>
        <w:rPr>
          <w:rFonts w:hint="eastAsia" w:ascii="Times New Roman"/>
          <w:sz w:val="28"/>
          <w:szCs w:val="28"/>
          <w:lang w:val="en-US" w:eastAsia="zh-CN"/>
        </w:rPr>
        <w:t>8</w:t>
      </w:r>
      <w:r>
        <w:rPr>
          <w:rFonts w:ascii="Times New Roman"/>
          <w:sz w:val="28"/>
          <w:szCs w:val="28"/>
        </w:rPr>
        <w:t>.2条文说明】</w:t>
      </w:r>
      <w:r>
        <w:rPr>
          <w:rFonts w:hint="eastAsia" w:ascii="Times New Roman"/>
          <w:sz w:val="28"/>
          <w:szCs w:val="28"/>
        </w:rPr>
        <w:t>滤食性底栖动物对水体中的净化作用突出，水生动物的多样性使它们在水中相互依存，与水生植物相互依赖、相互作用，形成了生态平衡，同时也不断地消耗和降解水体中的有机物质，维持湖泊的正常生态系统。</w:t>
      </w:r>
    </w:p>
    <w:p w14:paraId="13C2CCE6">
      <w:pPr>
        <w:pStyle w:val="44"/>
        <w:adjustRightInd w:val="0"/>
        <w:snapToGrid w:val="0"/>
        <w:spacing w:line="360" w:lineRule="auto"/>
        <w:ind w:firstLine="560"/>
        <w:rPr>
          <w:rFonts w:hint="eastAsia" w:ascii="Times New Roman"/>
          <w:sz w:val="28"/>
          <w:szCs w:val="28"/>
        </w:rPr>
      </w:pPr>
      <w:r>
        <w:rPr>
          <w:rFonts w:hint="eastAsia" w:ascii="Times New Roman"/>
          <w:sz w:val="28"/>
          <w:szCs w:val="28"/>
        </w:rPr>
        <w:t>通过生物操纵，快速构建水体底栖生态系统，发挥底栖生物在水质改善和生态群落和生境调节中的作用。</w:t>
      </w:r>
    </w:p>
    <w:p w14:paraId="2FC0665D">
      <w:pPr>
        <w:pStyle w:val="44"/>
        <w:widowControl w:val="0"/>
        <w:adjustRightInd w:val="0"/>
        <w:snapToGrid w:val="0"/>
        <w:spacing w:line="360" w:lineRule="auto"/>
        <w:ind w:firstLine="560"/>
        <w:rPr>
          <w:rFonts w:ascii="Times New Roman"/>
          <w:sz w:val="28"/>
          <w:szCs w:val="28"/>
        </w:rPr>
      </w:pPr>
      <w:r>
        <w:rPr>
          <w:rFonts w:hint="eastAsia" w:ascii="Times New Roman"/>
          <w:sz w:val="28"/>
          <w:szCs w:val="28"/>
        </w:rPr>
        <w:t>通过生物操纵使整个食物网适合于浮游动物或鱼类自身对藻类的觅食和消耗，如利用浮游植物食性鱼类（如鲢、鳙等）直接牧食藻类等。</w:t>
      </w:r>
    </w:p>
    <w:p w14:paraId="048736D3">
      <w:pPr>
        <w:pStyle w:val="44"/>
        <w:adjustRightInd w:val="0"/>
        <w:snapToGrid w:val="0"/>
        <w:spacing w:line="360" w:lineRule="auto"/>
        <w:ind w:firstLine="560"/>
        <w:rPr>
          <w:rFonts w:hint="eastAsia" w:ascii="Times New Roman"/>
          <w:sz w:val="28"/>
          <w:szCs w:val="28"/>
        </w:rPr>
      </w:pPr>
      <w:r>
        <w:rPr>
          <w:rFonts w:ascii="Times New Roman"/>
          <w:sz w:val="28"/>
          <w:szCs w:val="28"/>
        </w:rPr>
        <w:t>【文件</w:t>
      </w:r>
      <w:r>
        <w:rPr>
          <w:rFonts w:hint="eastAsia" w:ascii="Times New Roman"/>
          <w:sz w:val="28"/>
          <w:szCs w:val="28"/>
          <w:lang w:val="en-US" w:eastAsia="zh-CN"/>
        </w:rPr>
        <w:t>8</w:t>
      </w:r>
      <w:r>
        <w:rPr>
          <w:rFonts w:ascii="Times New Roman"/>
          <w:sz w:val="28"/>
          <w:szCs w:val="28"/>
        </w:rPr>
        <w:t>.3条文说明】</w:t>
      </w:r>
      <w:r>
        <w:rPr>
          <w:rFonts w:hint="eastAsia" w:ascii="Times New Roman"/>
          <w:sz w:val="28"/>
          <w:szCs w:val="28"/>
        </w:rPr>
        <w:t>因地制宜地投放鱼虫、蚯蚓等水中小型生物和蚌、蚬、螺（避免投放福寿螺）等底栖动物并促使其生长繁殖。</w:t>
      </w:r>
    </w:p>
    <w:p w14:paraId="5C09D5B0">
      <w:pPr>
        <w:pStyle w:val="44"/>
        <w:adjustRightInd w:val="0"/>
        <w:snapToGrid w:val="0"/>
        <w:spacing w:line="360" w:lineRule="auto"/>
        <w:ind w:firstLine="560"/>
        <w:rPr>
          <w:rFonts w:hint="eastAsia" w:ascii="Times New Roman"/>
          <w:sz w:val="28"/>
          <w:szCs w:val="28"/>
        </w:rPr>
      </w:pPr>
      <w:r>
        <w:rPr>
          <w:rFonts w:hint="eastAsia" w:ascii="Times New Roman"/>
          <w:sz w:val="28"/>
          <w:szCs w:val="28"/>
        </w:rPr>
        <w:t>放养鲢、鳙等鱼类，逐步地建设和修补水中生物链，形成生物多样性。</w:t>
      </w:r>
    </w:p>
    <w:p w14:paraId="655661E9">
      <w:pPr>
        <w:pStyle w:val="44"/>
        <w:adjustRightInd w:val="0"/>
        <w:snapToGrid w:val="0"/>
        <w:spacing w:line="360" w:lineRule="auto"/>
        <w:ind w:firstLine="560"/>
        <w:rPr>
          <w:rFonts w:hint="eastAsia" w:ascii="Times New Roman"/>
          <w:sz w:val="28"/>
          <w:szCs w:val="28"/>
        </w:rPr>
      </w:pPr>
      <w:r>
        <w:rPr>
          <w:rFonts w:hint="eastAsia" w:ascii="Times New Roman"/>
          <w:sz w:val="28"/>
          <w:szCs w:val="28"/>
        </w:rPr>
        <w:t>生物操纵技术主要通过循环放养和重复养殖，鱼可深入到湖区各部，调控湖泊中生物之间的食物链关系，降低藻类现有量，再通过成鱼捕捞，取走水体中的营养物质。</w:t>
      </w:r>
    </w:p>
    <w:p w14:paraId="7407CB01">
      <w:pPr>
        <w:pStyle w:val="44"/>
        <w:widowControl w:val="0"/>
        <w:adjustRightInd w:val="0"/>
        <w:snapToGrid w:val="0"/>
        <w:spacing w:line="360" w:lineRule="auto"/>
        <w:ind w:firstLine="560"/>
        <w:rPr>
          <w:rFonts w:ascii="Times New Roman"/>
          <w:sz w:val="28"/>
          <w:szCs w:val="28"/>
        </w:rPr>
      </w:pPr>
      <w:r>
        <w:rPr>
          <w:rFonts w:hint="eastAsia" w:ascii="Times New Roman"/>
          <w:sz w:val="28"/>
          <w:szCs w:val="28"/>
        </w:rPr>
        <w:t>在投加量方面，螺、贝类一般以5~10个/m</w:t>
      </w:r>
      <w:r>
        <w:rPr>
          <w:rFonts w:hint="eastAsia" w:ascii="Times New Roman"/>
          <w:sz w:val="28"/>
          <w:szCs w:val="28"/>
          <w:vertAlign w:val="superscript"/>
        </w:rPr>
        <w:t>2</w:t>
      </w:r>
      <w:r>
        <w:rPr>
          <w:rFonts w:hint="eastAsia" w:ascii="Times New Roman"/>
          <w:sz w:val="28"/>
          <w:szCs w:val="28"/>
        </w:rPr>
        <w:t>投加，杂食性虾类和小型杂食性蟹类以5~30个/m</w:t>
      </w:r>
      <w:r>
        <w:rPr>
          <w:rFonts w:hint="eastAsia" w:ascii="Times New Roman"/>
          <w:sz w:val="28"/>
          <w:szCs w:val="28"/>
          <w:vertAlign w:val="superscript"/>
        </w:rPr>
        <w:t>3</w:t>
      </w:r>
      <w:r>
        <w:rPr>
          <w:rFonts w:hint="eastAsia" w:ascii="Times New Roman"/>
          <w:sz w:val="28"/>
          <w:szCs w:val="28"/>
        </w:rPr>
        <w:t>的密度投放。</w:t>
      </w:r>
      <w:r>
        <w:rPr>
          <w:rFonts w:hint="eastAsia" w:ascii="Times New Roman" w:hAnsi="Times New Roman" w:eastAsia="宋体" w:cs="Times New Roman"/>
          <w:color w:val="auto"/>
          <w:sz w:val="28"/>
          <w:szCs w:val="28"/>
          <w:lang w:val="en-US" w:eastAsia="zh-CN"/>
        </w:rPr>
        <w:t>鲢鱼和鳙鱼的投放比例为3:1，有效鱼类密度约为40-50 g/m</w:t>
      </w:r>
      <w:r>
        <w:rPr>
          <w:rFonts w:hint="eastAsia" w:ascii="Times New Roman" w:hAnsi="Times New Roman" w:eastAsia="宋体" w:cs="Times New Roman"/>
          <w:color w:val="auto"/>
          <w:sz w:val="28"/>
          <w:szCs w:val="28"/>
          <w:vertAlign w:val="superscript"/>
          <w:lang w:val="en-US" w:eastAsia="zh-CN"/>
        </w:rPr>
        <w:t>3</w:t>
      </w:r>
      <w:r>
        <w:rPr>
          <w:rFonts w:hint="eastAsia" w:ascii="Times New Roman" w:hAnsi="Times New Roman" w:eastAsia="宋体" w:cs="Times New Roman"/>
          <w:color w:val="auto"/>
          <w:sz w:val="28"/>
          <w:szCs w:val="28"/>
          <w:vertAlign w:val="baseline"/>
          <w:lang w:val="en-US" w:eastAsia="zh-CN"/>
        </w:rPr>
        <w:t>。</w:t>
      </w:r>
    </w:p>
    <w:p w14:paraId="46FFC6D3">
      <w:pPr>
        <w:pStyle w:val="44"/>
        <w:adjustRightInd w:val="0"/>
        <w:snapToGrid w:val="0"/>
        <w:spacing w:line="360" w:lineRule="auto"/>
        <w:ind w:firstLine="560"/>
        <w:rPr>
          <w:rFonts w:hint="eastAsia" w:ascii="Times New Roman"/>
          <w:sz w:val="28"/>
          <w:szCs w:val="28"/>
        </w:rPr>
      </w:pPr>
      <w:r>
        <w:rPr>
          <w:rFonts w:ascii="Times New Roman"/>
          <w:sz w:val="28"/>
          <w:szCs w:val="28"/>
        </w:rPr>
        <w:t>【文件</w:t>
      </w:r>
      <w:r>
        <w:rPr>
          <w:rFonts w:hint="eastAsia" w:ascii="Times New Roman"/>
          <w:sz w:val="28"/>
          <w:szCs w:val="28"/>
          <w:lang w:val="en-US" w:eastAsia="zh-CN"/>
        </w:rPr>
        <w:t>8</w:t>
      </w:r>
      <w:r>
        <w:rPr>
          <w:rFonts w:ascii="Times New Roman"/>
          <w:sz w:val="28"/>
          <w:szCs w:val="28"/>
        </w:rPr>
        <w:t>.4条文说明】</w:t>
      </w:r>
      <w:r>
        <w:rPr>
          <w:rFonts w:hint="eastAsia" w:ascii="Times New Roman"/>
          <w:sz w:val="28"/>
          <w:szCs w:val="28"/>
        </w:rPr>
        <w:t>不同种类的底栖生物对环境条件的适应性及对污染等不利因素的耐受力和敏感程度不同，需对水体污染情况进行分析，因地制宜投放适合的底栖生物。</w:t>
      </w:r>
    </w:p>
    <w:p w14:paraId="2605F7F7">
      <w:pPr>
        <w:pStyle w:val="44"/>
        <w:widowControl w:val="0"/>
        <w:adjustRightInd w:val="0"/>
        <w:snapToGrid w:val="0"/>
        <w:spacing w:line="360" w:lineRule="auto"/>
        <w:ind w:firstLine="560"/>
        <w:rPr>
          <w:rFonts w:ascii="Times New Roman"/>
          <w:sz w:val="28"/>
          <w:szCs w:val="28"/>
        </w:rPr>
      </w:pPr>
      <w:r>
        <w:rPr>
          <w:rFonts w:hint="eastAsia" w:ascii="Times New Roman"/>
          <w:sz w:val="28"/>
          <w:szCs w:val="28"/>
        </w:rPr>
        <w:t>生物种类、数量、密度需要严格控制，防止出现生物爆发或生物死亡的现象，尤其滤食性鱼类的数量难以控制。</w:t>
      </w:r>
    </w:p>
    <w:p w14:paraId="79B0CB7E">
      <w:pPr>
        <w:pStyle w:val="4"/>
        <w:numPr>
          <w:ilvl w:val="2"/>
          <w:numId w:val="0"/>
        </w:numPr>
        <w:bidi w:val="0"/>
        <w:ind w:left="0" w:leftChars="0" w:firstLine="0" w:firstLineChars="0"/>
        <w:rPr>
          <w:rFonts w:ascii="Times New Roman" w:hAnsi="Times New Roman" w:eastAsia="宋体" w:cs="Times New Roman"/>
        </w:rPr>
      </w:pPr>
      <w:bookmarkStart w:id="80" w:name="_Hlk95492184"/>
      <w:bookmarkStart w:id="81" w:name="_Toc14152"/>
      <w:r>
        <w:rPr>
          <w:rFonts w:hint="eastAsia" w:cs="Times New Roman"/>
          <w:sz w:val="24"/>
          <w:szCs w:val="24"/>
          <w:lang w:val="en-US" w:eastAsia="zh-CN" w:bidi="ar-SA"/>
        </w:rPr>
        <w:t>5.2.</w:t>
      </w:r>
      <w:r>
        <w:rPr>
          <w:rFonts w:hint="default" w:ascii="Times New Roman" w:hAnsi="Times New Roman" w:eastAsia="宋体" w:cs="Times New Roman"/>
          <w:sz w:val="24"/>
          <w:szCs w:val="24"/>
          <w:lang w:val="en-US" w:eastAsia="zh-CN" w:bidi="ar-SA"/>
        </w:rPr>
        <w:t>9</w:t>
      </w:r>
      <w:r>
        <w:rPr>
          <w:rFonts w:hint="eastAsia" w:ascii="Times New Roman" w:hAnsi="Times New Roman" w:eastAsia="宋体" w:cs="Times New Roman"/>
        </w:rPr>
        <w:t>微生物吸附</w:t>
      </w:r>
      <w:bookmarkEnd w:id="80"/>
      <w:bookmarkEnd w:id="81"/>
    </w:p>
    <w:p w14:paraId="4EDA7D6F">
      <w:pPr>
        <w:pStyle w:val="44"/>
        <w:widowControl w:val="0"/>
        <w:adjustRightInd w:val="0"/>
        <w:snapToGrid w:val="0"/>
        <w:spacing w:line="360" w:lineRule="auto"/>
        <w:ind w:firstLine="560"/>
        <w:rPr>
          <w:rFonts w:ascii="Times New Roman"/>
          <w:sz w:val="28"/>
          <w:szCs w:val="28"/>
        </w:rPr>
      </w:pPr>
      <w:bookmarkStart w:id="82" w:name="_Hlk95492365"/>
      <w:r>
        <w:rPr>
          <w:rFonts w:hint="eastAsia" w:ascii="Times New Roman"/>
          <w:sz w:val="28"/>
          <w:szCs w:val="28"/>
        </w:rPr>
        <w:t>本文件对</w:t>
      </w:r>
      <w:r>
        <w:rPr>
          <w:rFonts w:hint="eastAsia" w:ascii="Times New Roman"/>
          <w:sz w:val="28"/>
          <w:szCs w:val="28"/>
        </w:rPr>
        <w:tab/>
      </w:r>
      <w:r>
        <w:rPr>
          <w:rFonts w:hint="eastAsia" w:ascii="Times New Roman"/>
          <w:sz w:val="28"/>
          <w:szCs w:val="28"/>
        </w:rPr>
        <w:t>微生物吸附的适用范围、技术要点、技术方法和限制因素进行了相关说明。</w:t>
      </w:r>
    </w:p>
    <w:bookmarkEnd w:id="82"/>
    <w:p w14:paraId="56042782">
      <w:pPr>
        <w:pStyle w:val="44"/>
        <w:adjustRightInd w:val="0"/>
        <w:snapToGrid w:val="0"/>
        <w:spacing w:line="360" w:lineRule="auto"/>
        <w:ind w:firstLine="560"/>
        <w:rPr>
          <w:rFonts w:ascii="Times New Roman"/>
          <w:sz w:val="28"/>
          <w:szCs w:val="28"/>
        </w:rPr>
      </w:pPr>
      <w:r>
        <w:rPr>
          <w:rFonts w:ascii="Times New Roman"/>
          <w:sz w:val="28"/>
          <w:szCs w:val="28"/>
        </w:rPr>
        <w:t>【文件</w:t>
      </w:r>
      <w:r>
        <w:rPr>
          <w:rFonts w:hint="eastAsia" w:ascii="Times New Roman"/>
          <w:sz w:val="28"/>
          <w:szCs w:val="28"/>
          <w:lang w:val="en-US" w:eastAsia="zh-CN"/>
        </w:rPr>
        <w:t>9</w:t>
      </w:r>
      <w:r>
        <w:rPr>
          <w:rFonts w:ascii="Times New Roman"/>
          <w:sz w:val="28"/>
          <w:szCs w:val="28"/>
        </w:rPr>
        <w:t>.1条文说明】</w:t>
      </w:r>
      <w:r>
        <w:rPr>
          <w:rFonts w:hint="eastAsia" w:ascii="Times New Roman"/>
          <w:sz w:val="28"/>
          <w:szCs w:val="28"/>
        </w:rPr>
        <w:t>适用于截污完成的封闭水体的应急处理</w:t>
      </w:r>
      <w:r>
        <w:rPr>
          <w:rFonts w:hint="eastAsia" w:ascii="Times New Roman"/>
          <w:sz w:val="28"/>
          <w:szCs w:val="28"/>
          <w:lang w:eastAsia="zh-CN"/>
        </w:rPr>
        <w:t>，以氮、流污染水体应急处理为最佳</w:t>
      </w:r>
      <w:r>
        <w:rPr>
          <w:rFonts w:hint="eastAsia" w:ascii="Times New Roman"/>
          <w:sz w:val="28"/>
          <w:szCs w:val="28"/>
        </w:rPr>
        <w:t>。可较快重建水体的菌落结构，促进水体水质的改善。</w:t>
      </w:r>
    </w:p>
    <w:p w14:paraId="36749007">
      <w:pPr>
        <w:pStyle w:val="44"/>
        <w:adjustRightInd w:val="0"/>
        <w:snapToGrid w:val="0"/>
        <w:spacing w:line="360" w:lineRule="auto"/>
        <w:ind w:firstLine="560"/>
        <w:rPr>
          <w:rFonts w:ascii="Times New Roman"/>
          <w:sz w:val="28"/>
          <w:szCs w:val="28"/>
        </w:rPr>
      </w:pPr>
      <w:r>
        <w:rPr>
          <w:rFonts w:ascii="Times New Roman"/>
          <w:sz w:val="28"/>
          <w:szCs w:val="28"/>
        </w:rPr>
        <w:t>【文件</w:t>
      </w:r>
      <w:r>
        <w:rPr>
          <w:rFonts w:hint="eastAsia" w:ascii="Times New Roman"/>
          <w:sz w:val="28"/>
          <w:szCs w:val="28"/>
          <w:lang w:val="en-US" w:eastAsia="zh-CN"/>
        </w:rPr>
        <w:t>9</w:t>
      </w:r>
      <w:r>
        <w:rPr>
          <w:rFonts w:ascii="Times New Roman"/>
          <w:sz w:val="28"/>
          <w:szCs w:val="28"/>
        </w:rPr>
        <w:t>.2条文说明】</w:t>
      </w:r>
      <w:r>
        <w:rPr>
          <w:rFonts w:hint="eastAsia" w:ascii="Times New Roman"/>
          <w:sz w:val="28"/>
          <w:szCs w:val="28"/>
        </w:rPr>
        <w:t>微生物吸附剂中的微生物种群以硝化细菌、芽孢杆菌为主。通过微生物吸附剂的投加，可使水体中的微生物数量快速增加，通过微生物的自我分裂繁殖，分解有机物和吸收水体中的氨态氮、硫化氢、亚硝酸盐等有害物质，提升水体透明度。</w:t>
      </w:r>
    </w:p>
    <w:p w14:paraId="7FD0186A">
      <w:pPr>
        <w:pStyle w:val="44"/>
        <w:adjustRightInd w:val="0"/>
        <w:snapToGrid w:val="0"/>
        <w:spacing w:line="360" w:lineRule="auto"/>
        <w:ind w:firstLine="560"/>
        <w:rPr>
          <w:rFonts w:hint="default" w:ascii="Times New Roman" w:hAnsi="Times New Roman" w:cs="Times New Roman"/>
          <w:sz w:val="28"/>
          <w:szCs w:val="28"/>
        </w:rPr>
      </w:pPr>
      <w:r>
        <w:rPr>
          <w:rFonts w:ascii="Times New Roman"/>
          <w:sz w:val="28"/>
          <w:szCs w:val="28"/>
        </w:rPr>
        <w:t>【文件</w:t>
      </w:r>
      <w:r>
        <w:rPr>
          <w:rFonts w:hint="eastAsia" w:ascii="Times New Roman"/>
          <w:sz w:val="28"/>
          <w:szCs w:val="28"/>
          <w:lang w:val="en-US" w:eastAsia="zh-CN"/>
        </w:rPr>
        <w:t>9</w:t>
      </w:r>
      <w:r>
        <w:rPr>
          <w:rFonts w:ascii="Times New Roman"/>
          <w:sz w:val="28"/>
          <w:szCs w:val="28"/>
        </w:rPr>
        <w:t>.3条文说明】</w:t>
      </w:r>
      <w:r>
        <w:rPr>
          <w:rFonts w:hint="eastAsia" w:ascii="Times New Roman"/>
          <w:sz w:val="28"/>
          <w:szCs w:val="28"/>
        </w:rPr>
        <w:t>微生物吸附剂技术主要方法是通过购买制剂，</w:t>
      </w:r>
      <w:r>
        <w:rPr>
          <w:rFonts w:hint="default" w:ascii="Times New Roman" w:hAnsi="Times New Roman" w:cs="Times New Roman"/>
          <w:sz w:val="28"/>
          <w:szCs w:val="28"/>
        </w:rPr>
        <w:t>视湖底淤泥和水质情况，每月使用2~4次。将微生物吸附剂按一定比例积稀释并存放2小时，库边和浅水区域可直接泼洒。深水区利用高压空气将底泥翻至上层时泼洒。微生物吸附剂通常仅为应急工程使用。</w:t>
      </w:r>
    </w:p>
    <w:p w14:paraId="313E50B5">
      <w:pPr>
        <w:pStyle w:val="44"/>
        <w:adjustRightInd w:val="0"/>
        <w:snapToGrid w:val="0"/>
        <w:spacing w:line="360" w:lineRule="auto"/>
        <w:ind w:firstLine="560"/>
        <w:rPr>
          <w:rFonts w:hint="default" w:ascii="Times New Roman" w:hAnsi="Times New Roman" w:cs="Times New Roman"/>
          <w:sz w:val="28"/>
          <w:szCs w:val="28"/>
        </w:rPr>
      </w:pPr>
      <w:r>
        <w:rPr>
          <w:rFonts w:hint="default" w:ascii="Times New Roman" w:hAnsi="Times New Roman" w:cs="Times New Roman"/>
          <w:sz w:val="28"/>
          <w:szCs w:val="28"/>
        </w:rPr>
        <w:t>【文件</w:t>
      </w:r>
      <w:r>
        <w:rPr>
          <w:rFonts w:hint="default" w:ascii="Times New Roman" w:hAnsi="Times New Roman" w:cs="Times New Roman"/>
          <w:sz w:val="28"/>
          <w:szCs w:val="28"/>
          <w:lang w:val="en-US" w:eastAsia="zh-CN"/>
        </w:rPr>
        <w:t>9</w:t>
      </w:r>
      <w:r>
        <w:rPr>
          <w:rFonts w:hint="default" w:ascii="Times New Roman" w:hAnsi="Times New Roman" w:cs="Times New Roman"/>
          <w:sz w:val="28"/>
          <w:szCs w:val="28"/>
        </w:rPr>
        <w:t>.4条文说明】微生物吸附剂恢复方法见效快，但作用期短，不能长久维持。复合菌剂的组成复杂多样，其中的微生物更容易受到群体结构和环境因素（温度）的影响，导致生物制剂的稳定性下降。投加微生物吸附剂时应考虑受污染水体对生物存活的适宜性。一般水体pH范围5~9。</w:t>
      </w:r>
    </w:p>
    <w:p w14:paraId="2F28FDDB">
      <w:pPr>
        <w:pStyle w:val="4"/>
        <w:numPr>
          <w:ilvl w:val="2"/>
          <w:numId w:val="0"/>
        </w:numPr>
        <w:bidi w:val="0"/>
        <w:ind w:left="0" w:leftChars="0" w:firstLine="0" w:firstLineChars="0"/>
        <w:rPr>
          <w:rFonts w:ascii="Times New Roman" w:hAnsi="Times New Roman" w:eastAsia="宋体" w:cs="Times New Roman"/>
        </w:rPr>
      </w:pPr>
      <w:bookmarkStart w:id="83" w:name="_Toc696"/>
      <w:r>
        <w:rPr>
          <w:rFonts w:hint="eastAsia" w:cs="Times New Roman"/>
          <w:sz w:val="24"/>
          <w:szCs w:val="24"/>
          <w:lang w:val="en-US" w:eastAsia="zh-CN" w:bidi="ar-SA"/>
        </w:rPr>
        <w:t>5.2.</w:t>
      </w:r>
      <w:r>
        <w:rPr>
          <w:rFonts w:hint="default" w:ascii="Times New Roman" w:hAnsi="Times New Roman" w:eastAsia="宋体" w:cs="Times New Roman"/>
          <w:sz w:val="24"/>
          <w:szCs w:val="24"/>
          <w:lang w:val="en-US" w:eastAsia="zh-CN" w:bidi="ar-SA"/>
        </w:rPr>
        <w:t>10</w:t>
      </w:r>
      <w:r>
        <w:rPr>
          <w:rFonts w:hint="eastAsia" w:ascii="Times New Roman" w:hAnsi="Times New Roman" w:eastAsia="宋体" w:cs="Times New Roman"/>
        </w:rPr>
        <w:t>技术比选</w:t>
      </w:r>
      <w:bookmarkEnd w:id="83"/>
    </w:p>
    <w:p w14:paraId="7A642E4D">
      <w:pPr>
        <w:pStyle w:val="44"/>
        <w:widowControl w:val="0"/>
        <w:adjustRightInd w:val="0"/>
        <w:snapToGrid w:val="0"/>
        <w:spacing w:line="360" w:lineRule="auto"/>
        <w:ind w:firstLine="560"/>
        <w:rPr>
          <w:rFonts w:ascii="Times New Roman"/>
          <w:sz w:val="28"/>
          <w:szCs w:val="28"/>
        </w:rPr>
      </w:pPr>
      <w:r>
        <w:rPr>
          <w:rFonts w:hint="eastAsia" w:ascii="Times New Roman"/>
          <w:sz w:val="28"/>
          <w:szCs w:val="28"/>
        </w:rPr>
        <w:t>本文件对</w:t>
      </w:r>
      <w:r>
        <w:rPr>
          <w:rFonts w:hint="eastAsia" w:ascii="Times New Roman"/>
          <w:sz w:val="28"/>
          <w:szCs w:val="28"/>
        </w:rPr>
        <w:tab/>
      </w:r>
      <w:r>
        <w:rPr>
          <w:rFonts w:hint="eastAsia" w:ascii="Times New Roman"/>
          <w:sz w:val="28"/>
          <w:szCs w:val="28"/>
        </w:rPr>
        <w:t>生态湿地、人工浮岛、生物操纵、微生物吸附的适用条件、技术特征、作用机制、应用难度、技术造价等进行了说明。</w:t>
      </w:r>
    </w:p>
    <w:p w14:paraId="44C124C0">
      <w:pPr>
        <w:pStyle w:val="4"/>
        <w:numPr>
          <w:ilvl w:val="2"/>
          <w:numId w:val="0"/>
        </w:numPr>
        <w:bidi w:val="0"/>
        <w:ind w:left="0" w:leftChars="0" w:firstLine="0" w:firstLineChars="0"/>
        <w:rPr>
          <w:rFonts w:ascii="Times New Roman" w:hAnsi="Times New Roman" w:eastAsia="宋体" w:cs="Times New Roman"/>
        </w:rPr>
      </w:pPr>
      <w:bookmarkStart w:id="84" w:name="_Toc21758"/>
      <w:r>
        <w:rPr>
          <w:rFonts w:hint="eastAsia" w:cs="Times New Roman"/>
          <w:sz w:val="24"/>
          <w:szCs w:val="24"/>
          <w:lang w:val="en-US" w:eastAsia="zh-CN" w:bidi="ar-SA"/>
        </w:rPr>
        <w:t>5.2.</w:t>
      </w:r>
      <w:r>
        <w:rPr>
          <w:rFonts w:hint="default" w:ascii="Times New Roman" w:hAnsi="Times New Roman" w:eastAsia="宋体" w:cs="Times New Roman"/>
          <w:sz w:val="24"/>
          <w:szCs w:val="24"/>
          <w:lang w:val="en-US" w:eastAsia="zh-CN" w:bidi="ar-SA"/>
        </w:rPr>
        <w:t>11</w:t>
      </w:r>
      <w:r>
        <w:rPr>
          <w:rFonts w:hint="eastAsia" w:ascii="Times New Roman" w:hAnsi="Times New Roman" w:eastAsia="宋体" w:cs="Times New Roman"/>
        </w:rPr>
        <w:t>附录</w:t>
      </w:r>
      <w:bookmarkEnd w:id="84"/>
    </w:p>
    <w:p w14:paraId="3DE1C3E9">
      <w:pPr>
        <w:adjustRightInd w:val="0"/>
        <w:snapToGrid w:val="0"/>
        <w:spacing w:line="360" w:lineRule="auto"/>
        <w:ind w:firstLine="560"/>
        <w:rPr>
          <w:rFonts w:hint="eastAsia"/>
          <w:sz w:val="28"/>
          <w:szCs w:val="24"/>
          <w:lang w:eastAsia="zh-CN"/>
        </w:rPr>
      </w:pPr>
      <w:r>
        <w:rPr>
          <w:rFonts w:hint="eastAsia"/>
          <w:sz w:val="28"/>
          <w:szCs w:val="24"/>
          <w:lang w:eastAsia="zh-CN"/>
        </w:rPr>
        <w:t>附表说明了常用水生植物先锋恢复种及其适应性特征、不同生活型水生植物物种组合及其优化推荐方案、常见水生植物氮、磷去除效率和常见水生植物工程种的生活史周期养护要点等内容。</w:t>
      </w:r>
    </w:p>
    <w:p w14:paraId="0A6A6304">
      <w:pPr>
        <w:pStyle w:val="2"/>
        <w:numPr>
          <w:ilvl w:val="0"/>
          <w:numId w:val="0"/>
        </w:numPr>
        <w:bidi w:val="0"/>
        <w:ind w:left="0" w:leftChars="0" w:firstLine="0" w:firstLineChars="0"/>
        <w:rPr>
          <w:rFonts w:hint="eastAsia" w:ascii="Times New Roman" w:hAnsi="Times New Roman" w:cs="Times New Roman"/>
          <w:lang w:eastAsia="zh-CN"/>
        </w:rPr>
      </w:pPr>
      <w:bookmarkStart w:id="85" w:name="_Toc2905"/>
      <w:r>
        <w:rPr>
          <w:rFonts w:hint="eastAsia" w:ascii="Times New Roman" w:hAnsi="Times New Roman" w:cs="Times New Roman"/>
          <w:lang w:val="en-US" w:eastAsia="zh-CN"/>
        </w:rPr>
        <w:t>六、</w:t>
      </w:r>
      <w:r>
        <w:rPr>
          <w:rFonts w:hint="eastAsia" w:ascii="Times New Roman" w:hAnsi="Times New Roman" w:cs="Times New Roman"/>
          <w:lang w:eastAsia="zh-CN"/>
        </w:rPr>
        <w:t>国内外标准情况、与国际标准一致性程度情况</w:t>
      </w:r>
      <w:bookmarkEnd w:id="85"/>
    </w:p>
    <w:p w14:paraId="4816CE87">
      <w:pPr>
        <w:adjustRightInd w:val="0"/>
        <w:snapToGrid w:val="0"/>
        <w:spacing w:line="360" w:lineRule="auto"/>
        <w:ind w:left="0" w:leftChars="0" w:firstLine="560" w:firstLineChars="200"/>
        <w:rPr>
          <w:rFonts w:hint="eastAsia"/>
          <w:sz w:val="28"/>
          <w:szCs w:val="24"/>
          <w:lang w:eastAsia="zh-CN"/>
        </w:rPr>
      </w:pPr>
      <w:r>
        <w:rPr>
          <w:rFonts w:hint="eastAsia"/>
          <w:sz w:val="28"/>
          <w:szCs w:val="24"/>
          <w:lang w:eastAsia="zh-CN"/>
        </w:rPr>
        <w:t>《浙江省湖库生态缓冲带划定与生态修复技术指南（试行）》于2020年11月13日由浙江省生态环境厅、浙江省治水办(河长办)联合印发，为浙江省各地开展湖库生态缓冲带保护和修复工作提供了有效技术支撑。该指南在识别自然和人为影响的基础上，遵循客观差异性和分区分类的原则，将浙江省的湖（库）滨带分为大堤型、农田型、养殖塘型、村落型、山体型、景区型、道路型、河口型、平缓滩地型、生物廊道型、岩石型11种类型，将湖库缓冲区分为平原林地型、山体型、农田型、村落型、景区型、城镇型、养殖塘型、地下水潜水层保护型8种类型，提出分类型进行宽度划定和分类修复的生态技术模式，有针对性地指导湖库生态缓冲带宽度划定，制定合理划定方案及采用适宜的生态修复措施。</w:t>
      </w:r>
    </w:p>
    <w:p w14:paraId="2E719838">
      <w:pPr>
        <w:adjustRightInd w:val="0"/>
        <w:snapToGrid w:val="0"/>
        <w:spacing w:line="360" w:lineRule="auto"/>
        <w:ind w:left="0" w:leftChars="0" w:firstLine="560" w:firstLineChars="200"/>
        <w:rPr>
          <w:rFonts w:hint="eastAsia"/>
          <w:sz w:val="28"/>
          <w:szCs w:val="24"/>
          <w:lang w:eastAsia="zh-CN"/>
        </w:rPr>
      </w:pPr>
      <w:r>
        <w:rPr>
          <w:rFonts w:hint="eastAsia"/>
          <w:sz w:val="28"/>
          <w:szCs w:val="24"/>
          <w:lang w:eastAsia="zh-CN"/>
        </w:rPr>
        <w:t>为系统整合重庆市湖库生态修复适宜技术，指导重庆地区城市湖库的水环境治理、水环境质量提升、水生生态系统恢复等工作，重庆市环境保护局于2017年12月29日印发了《重庆市湖库生态修复适宜技术选择指南（2017版）》，该指南针对重庆地区山地地形复杂、地形坡度大、地表径流流速大、山地河湖贯通格局较多等特点，针对性提出了适宜重庆地区的点源污染、面源污染、内源污染、水体自净能力恢复等湖库生态修复适宜技术，并对湖库管理与长效保持措施提出了指导。</w:t>
      </w:r>
    </w:p>
    <w:p w14:paraId="478D2D9A">
      <w:pPr>
        <w:adjustRightInd w:val="0"/>
        <w:snapToGrid w:val="0"/>
        <w:spacing w:line="360" w:lineRule="auto"/>
        <w:ind w:left="0" w:leftChars="0" w:firstLine="560" w:firstLineChars="200"/>
        <w:rPr>
          <w:rFonts w:hint="eastAsia"/>
          <w:sz w:val="28"/>
          <w:szCs w:val="24"/>
          <w:lang w:eastAsia="zh-CN"/>
        </w:rPr>
      </w:pPr>
      <w:r>
        <w:rPr>
          <w:rFonts w:hint="eastAsia"/>
          <w:sz w:val="28"/>
          <w:szCs w:val="24"/>
          <w:lang w:eastAsia="zh-CN"/>
        </w:rPr>
        <w:t>2014年，环保部印发了《湖泊生态环境保护系列技术指南之四—湖滨带生态修复工程技术指南》，该指南以湖滨带生态功能保护为核心，提出湖滨带生态环境调查与问题诊断、生态修复总体设计、生态修复工艺、湖滨带生态修复工程维护管理、投资估算、生态环境效益评估等方面的技术方法。该指南对于指导各地开展湖滨带生态环境保护工作，改善湖滨生态环境，减少入湖污染负荷，为维护湖泊及流域生态系统健康提供保障。</w:t>
      </w:r>
    </w:p>
    <w:p w14:paraId="3026590F">
      <w:pPr>
        <w:adjustRightInd w:val="0"/>
        <w:snapToGrid w:val="0"/>
        <w:spacing w:line="360" w:lineRule="auto"/>
        <w:ind w:left="0" w:leftChars="0" w:firstLine="560" w:firstLineChars="200"/>
        <w:rPr>
          <w:rFonts w:hint="eastAsia"/>
          <w:sz w:val="28"/>
          <w:szCs w:val="24"/>
          <w:lang w:eastAsia="zh-CN"/>
        </w:rPr>
      </w:pPr>
      <w:r>
        <w:rPr>
          <w:rFonts w:hint="eastAsia"/>
          <w:sz w:val="28"/>
          <w:szCs w:val="24"/>
          <w:lang w:eastAsia="zh-CN"/>
        </w:rPr>
        <w:t>为贯彻落实党中央、国务院关于统筹推进山水林田湖草一体化保护和修复的部署要求，指导和规范各地山水林田湖草生态保护修复工程实施，自然资源部、财政部、生态环境部制定了《山水林田湖草生态保护修复工程指南（试行）》，指南涵盖工程建设内容和保护修复要求、监测评估和适应性管理、工程管理要求等内容</w:t>
      </w:r>
    </w:p>
    <w:p w14:paraId="1FB58AE3">
      <w:pPr>
        <w:adjustRightInd w:val="0"/>
        <w:snapToGrid w:val="0"/>
        <w:spacing w:line="360" w:lineRule="auto"/>
        <w:ind w:left="0" w:leftChars="0" w:firstLine="560" w:firstLineChars="200"/>
        <w:rPr>
          <w:rFonts w:hint="eastAsia"/>
          <w:sz w:val="28"/>
          <w:szCs w:val="24"/>
          <w:lang w:eastAsia="zh-CN"/>
        </w:rPr>
      </w:pPr>
      <w:r>
        <w:rPr>
          <w:rFonts w:hint="eastAsia"/>
          <w:sz w:val="28"/>
          <w:szCs w:val="24"/>
          <w:lang w:eastAsia="zh-CN"/>
        </w:rPr>
        <w:t>目前，美国、荷兰、德国等先进国家已经制定了相对完善的水生生物修复标准，如美国《湿地恢复标准》与欧盟《水框架指令》等。该标准大都基于当地的生态条件、环境特点和经济水平制定，在其他地区尤其是在发展中国家或生态系统复杂的地区适用性不强。</w:t>
      </w:r>
    </w:p>
    <w:p w14:paraId="5869348C">
      <w:pPr>
        <w:adjustRightInd w:val="0"/>
        <w:snapToGrid w:val="0"/>
        <w:spacing w:line="360" w:lineRule="auto"/>
        <w:ind w:left="0" w:leftChars="0" w:firstLine="0" w:firstLineChars="0"/>
        <w:rPr>
          <w:rFonts w:hint="eastAsia"/>
          <w:sz w:val="28"/>
          <w:szCs w:val="24"/>
          <w:lang w:eastAsia="zh-CN"/>
        </w:rPr>
      </w:pPr>
      <w:r>
        <w:rPr>
          <w:rFonts w:hint="eastAsia"/>
          <w:sz w:val="28"/>
          <w:szCs w:val="24"/>
          <w:lang w:eastAsia="zh-CN"/>
        </w:rPr>
        <w:t>有别于国内外其他标准，本标准立足于我省湖库水生生物多样性退化实际，针对性提出生态湿地、人工浮岛、生物操纵、微生物吸附等水生生物修复技术，具有更强操作性和指导性。</w:t>
      </w:r>
    </w:p>
    <w:p w14:paraId="5993921C">
      <w:pPr>
        <w:pStyle w:val="2"/>
        <w:numPr>
          <w:ilvl w:val="0"/>
          <w:numId w:val="0"/>
        </w:numPr>
        <w:bidi w:val="0"/>
        <w:ind w:left="0" w:leftChars="0" w:firstLine="0" w:firstLineChars="0"/>
        <w:rPr>
          <w:rFonts w:hint="eastAsia" w:ascii="Times New Roman" w:hAnsi="Times New Roman" w:eastAsia="黑体" w:cs="Times New Roman"/>
          <w:sz w:val="32"/>
          <w:szCs w:val="28"/>
          <w:lang w:val="en-US" w:eastAsia="zh-CN" w:bidi="ar-SA"/>
        </w:rPr>
      </w:pPr>
      <w:bookmarkStart w:id="86" w:name="_Toc16367"/>
      <w:r>
        <w:rPr>
          <w:rFonts w:hint="eastAsia" w:ascii="Times New Roman" w:hAnsi="Times New Roman" w:cs="Times New Roman"/>
          <w:sz w:val="32"/>
          <w:szCs w:val="28"/>
          <w:lang w:val="en-US" w:eastAsia="zh-CN" w:bidi="ar-SA"/>
        </w:rPr>
        <w:t>七、</w:t>
      </w:r>
      <w:r>
        <w:rPr>
          <w:rFonts w:hint="default" w:ascii="Times New Roman" w:hAnsi="Times New Roman" w:eastAsia="黑体" w:cs="Times New Roman"/>
          <w:sz w:val="32"/>
          <w:szCs w:val="28"/>
          <w:lang w:val="en-US" w:eastAsia="zh-CN" w:bidi="ar-SA"/>
        </w:rPr>
        <w:t>与相关强制性标准、法律法规配套情况</w:t>
      </w:r>
      <w:bookmarkEnd w:id="86"/>
    </w:p>
    <w:p w14:paraId="701AF891">
      <w:pPr>
        <w:adjustRightInd w:val="0"/>
        <w:snapToGrid w:val="0"/>
        <w:spacing w:line="360" w:lineRule="auto"/>
        <w:ind w:left="0" w:leftChars="0" w:firstLine="560" w:firstLineChars="200"/>
        <w:rPr>
          <w:rFonts w:hint="eastAsia"/>
          <w:sz w:val="28"/>
          <w:szCs w:val="24"/>
          <w:lang w:eastAsia="zh-CN"/>
        </w:rPr>
      </w:pPr>
      <w:r>
        <w:rPr>
          <w:rFonts w:hint="eastAsia"/>
          <w:sz w:val="28"/>
          <w:szCs w:val="24"/>
          <w:lang w:eastAsia="zh-CN"/>
        </w:rPr>
        <w:t>制标主要原则是遵守《中华人民共和国标准化法》、《中华人民共和国环境保护法》、《国家标准管理办法》、《江西省地方标准管理办法》等法律法规；在标准制定过程中，充分参考了国内外水生生物修复实际工程设计、施工及运营情况，充分保证该标准在实际应用工程实践的实用性。该标准的技术指标、性能参数的设定，结合了水生生物修复的相关研究和实践情况，充分参考了相关国家标准和相关规范，广泛调研，保证了标准的科学性、规范性、时效性、针对性。</w:t>
      </w:r>
    </w:p>
    <w:p w14:paraId="357F8B31">
      <w:pPr>
        <w:adjustRightInd w:val="0"/>
        <w:snapToGrid w:val="0"/>
        <w:spacing w:line="360" w:lineRule="auto"/>
        <w:ind w:left="0" w:leftChars="0" w:firstLine="560" w:firstLineChars="200"/>
        <w:rPr>
          <w:rFonts w:hint="eastAsia"/>
          <w:sz w:val="28"/>
          <w:szCs w:val="24"/>
          <w:lang w:eastAsia="zh-CN"/>
        </w:rPr>
      </w:pPr>
      <w:r>
        <w:rPr>
          <w:rFonts w:hint="eastAsia"/>
          <w:sz w:val="28"/>
          <w:szCs w:val="24"/>
          <w:lang w:eastAsia="zh-CN"/>
        </w:rPr>
        <w:t>本地方标准的编写内容与格式严格按照GB/T 1.1-2020《标准化工作导则 第1部分：标准化文件的结构和起草规则》的规定起草，遵守“统一性、协调性、适用性、一致性、规范性”的原则。</w:t>
      </w:r>
    </w:p>
    <w:p w14:paraId="694E1AAD">
      <w:pPr>
        <w:adjustRightInd w:val="0"/>
        <w:snapToGrid w:val="0"/>
        <w:spacing w:line="360" w:lineRule="auto"/>
        <w:ind w:left="0" w:leftChars="0" w:firstLine="560" w:firstLineChars="200"/>
        <w:rPr>
          <w:rFonts w:hint="eastAsia"/>
          <w:sz w:val="28"/>
          <w:szCs w:val="24"/>
          <w:lang w:eastAsia="zh-CN"/>
        </w:rPr>
      </w:pPr>
      <w:r>
        <w:rPr>
          <w:rFonts w:hint="eastAsia"/>
          <w:sz w:val="28"/>
          <w:szCs w:val="24"/>
          <w:lang w:eastAsia="zh-CN"/>
        </w:rPr>
        <w:t>本标准符合现行的法律、法规和强制性标准。本标准制定的原则和依据是立足需求，突出重点。依据省标准化战略领导小组办公室关于做好地方标准管理工作的通知要求开展，围绕我省湖库水生生物修复技术要求进行起草。</w:t>
      </w:r>
    </w:p>
    <w:p w14:paraId="6D6C528C">
      <w:pPr>
        <w:pStyle w:val="2"/>
        <w:numPr>
          <w:ilvl w:val="0"/>
          <w:numId w:val="0"/>
        </w:numPr>
        <w:bidi w:val="0"/>
        <w:ind w:left="0" w:leftChars="0" w:firstLine="0" w:firstLineChars="0"/>
        <w:rPr>
          <w:rFonts w:hint="eastAsia" w:ascii="Times New Roman" w:hAnsi="Times New Roman" w:cs="Times New Roman"/>
          <w:lang w:eastAsia="zh-CN"/>
        </w:rPr>
      </w:pPr>
      <w:bookmarkStart w:id="87" w:name="_Toc15787"/>
      <w:r>
        <w:rPr>
          <w:rFonts w:hint="eastAsia" w:ascii="Times New Roman" w:hAnsi="Times New Roman" w:cs="Times New Roman"/>
          <w:sz w:val="32"/>
          <w:szCs w:val="28"/>
          <w:lang w:val="en-US" w:eastAsia="zh-CN" w:bidi="ar-SA"/>
        </w:rPr>
        <w:t>八</w:t>
      </w:r>
      <w:r>
        <w:rPr>
          <w:rFonts w:hint="eastAsia" w:ascii="Times New Roman" w:hAnsi="Times New Roman" w:eastAsia="黑体" w:cs="Times New Roman"/>
          <w:sz w:val="32"/>
          <w:szCs w:val="28"/>
          <w:lang w:val="en-US" w:eastAsia="zh-CN" w:bidi="ar-SA"/>
        </w:rPr>
        <w:t>、</w:t>
      </w:r>
      <w:r>
        <w:rPr>
          <w:rFonts w:hint="eastAsia" w:ascii="Times New Roman" w:hAnsi="Times New Roman" w:cs="Times New Roman"/>
          <w:lang w:eastAsia="zh-CN"/>
        </w:rPr>
        <w:t>实施本文件的建议</w:t>
      </w:r>
      <w:bookmarkEnd w:id="87"/>
    </w:p>
    <w:bookmarkEnd w:id="47"/>
    <w:bookmarkEnd w:id="48"/>
    <w:p w14:paraId="44817154">
      <w:pPr>
        <w:adjustRightInd w:val="0"/>
        <w:snapToGrid w:val="0"/>
        <w:spacing w:line="360" w:lineRule="auto"/>
        <w:ind w:firstLine="560"/>
        <w:rPr>
          <w:sz w:val="28"/>
          <w:szCs w:val="24"/>
          <w:lang w:eastAsia="zh-CN"/>
        </w:rPr>
      </w:pPr>
      <w:r>
        <w:rPr>
          <w:sz w:val="28"/>
          <w:szCs w:val="24"/>
          <w:lang w:eastAsia="zh-CN"/>
        </w:rPr>
        <w:t>鉴于本</w:t>
      </w:r>
      <w:r>
        <w:rPr>
          <w:rFonts w:hint="eastAsia"/>
          <w:sz w:val="28"/>
          <w:szCs w:val="24"/>
          <w:lang w:val="en-US" w:eastAsia="zh-CN"/>
        </w:rPr>
        <w:t>标准</w:t>
      </w:r>
      <w:r>
        <w:rPr>
          <w:sz w:val="28"/>
          <w:szCs w:val="24"/>
          <w:lang w:eastAsia="zh-CN"/>
        </w:rPr>
        <w:t>为首次制定，在实施过程中可采用先试行一段时间，根据试行情况及反馈信息，进行进一步的修订完善，力争最终形成适用的</w:t>
      </w:r>
      <w:r>
        <w:rPr>
          <w:rFonts w:hint="eastAsia"/>
          <w:sz w:val="28"/>
          <w:szCs w:val="24"/>
          <w:lang w:eastAsia="zh-CN"/>
        </w:rPr>
        <w:t>水生态修复标准</w:t>
      </w:r>
      <w:r>
        <w:rPr>
          <w:sz w:val="28"/>
          <w:szCs w:val="24"/>
          <w:lang w:eastAsia="zh-CN"/>
        </w:rPr>
        <w:t>文件，更好的满足我省</w:t>
      </w:r>
      <w:r>
        <w:rPr>
          <w:rFonts w:hint="eastAsia"/>
          <w:sz w:val="28"/>
          <w:szCs w:val="24"/>
          <w:lang w:eastAsia="zh-CN"/>
        </w:rPr>
        <w:t>湖库水生态修复</w:t>
      </w:r>
      <w:r>
        <w:rPr>
          <w:sz w:val="28"/>
          <w:szCs w:val="24"/>
          <w:lang w:eastAsia="zh-CN"/>
        </w:rPr>
        <w:t>需要。此外，随着经济的发展和技术的进步，以及对环保技术研究的不断深入及实践经验的积累，根据环境管理的实际需要，</w:t>
      </w:r>
      <w:r>
        <w:rPr>
          <w:rFonts w:hint="eastAsia"/>
          <w:sz w:val="28"/>
          <w:szCs w:val="24"/>
          <w:lang w:eastAsia="zh-CN"/>
        </w:rPr>
        <w:t>指南</w:t>
      </w:r>
      <w:r>
        <w:rPr>
          <w:sz w:val="28"/>
          <w:szCs w:val="24"/>
          <w:lang w:eastAsia="zh-CN"/>
        </w:rPr>
        <w:t>的内容应不断得到完善、拓展、深入和更新，以适应环境标准制修订工作的要求。因此本文件发布后，建议建立相关信息的反馈机制，适时解决</w:t>
      </w:r>
      <w:r>
        <w:rPr>
          <w:rFonts w:hint="eastAsia"/>
          <w:sz w:val="28"/>
          <w:szCs w:val="24"/>
          <w:lang w:eastAsia="zh-CN"/>
        </w:rPr>
        <w:t>指南</w:t>
      </w:r>
      <w:r>
        <w:rPr>
          <w:sz w:val="28"/>
          <w:szCs w:val="24"/>
          <w:lang w:eastAsia="zh-CN"/>
        </w:rPr>
        <w:t>应用中的问题，及时了解和总结</w:t>
      </w:r>
      <w:r>
        <w:rPr>
          <w:rFonts w:hint="eastAsia"/>
          <w:sz w:val="28"/>
          <w:szCs w:val="24"/>
          <w:lang w:eastAsia="zh-CN"/>
        </w:rPr>
        <w:t>水生态修复技术</w:t>
      </w:r>
      <w:r>
        <w:rPr>
          <w:sz w:val="28"/>
          <w:szCs w:val="24"/>
          <w:lang w:eastAsia="zh-CN"/>
        </w:rPr>
        <w:t>的新动向，推动标准的贯彻执行。</w:t>
      </w:r>
    </w:p>
    <w:p w14:paraId="4DE684AC">
      <w:pPr>
        <w:adjustRightInd w:val="0"/>
        <w:snapToGrid w:val="0"/>
        <w:spacing w:line="360" w:lineRule="auto"/>
        <w:ind w:firstLine="560"/>
        <w:rPr>
          <w:color w:val="000000"/>
          <w:sz w:val="28"/>
          <w:szCs w:val="24"/>
          <w:lang w:eastAsia="zh-CN"/>
        </w:rPr>
      </w:pPr>
      <w:r>
        <w:rPr>
          <w:color w:val="000000"/>
          <w:sz w:val="28"/>
          <w:szCs w:val="24"/>
          <w:lang w:eastAsia="zh-CN"/>
        </w:rPr>
        <w:t>本</w:t>
      </w:r>
      <w:r>
        <w:rPr>
          <w:rFonts w:hint="eastAsia"/>
          <w:color w:val="000000"/>
          <w:sz w:val="28"/>
          <w:szCs w:val="24"/>
          <w:lang w:eastAsia="zh-CN"/>
        </w:rPr>
        <w:t>标准</w:t>
      </w:r>
      <w:r>
        <w:rPr>
          <w:color w:val="000000"/>
          <w:sz w:val="28"/>
          <w:szCs w:val="24"/>
          <w:lang w:eastAsia="zh-CN"/>
        </w:rPr>
        <w:t>建议作为推荐性地方标准发布。</w:t>
      </w:r>
    </w:p>
    <w:sectPr>
      <w:footerReference r:id="rId13" w:type="default"/>
      <w:pgSz w:w="11906" w:h="16838"/>
      <w:pgMar w:top="1440" w:right="1800" w:bottom="1440" w:left="1800" w:header="851" w:footer="992"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39DC8">
    <w:pPr>
      <w:pStyle w:val="17"/>
      <w:framePr w:w="267" w:wrap="around" w:vAnchor="text" w:hAnchor="page" w:x="9806" w:y="20"/>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F5F9D">
    <w:pPr>
      <w:pStyle w:val="17"/>
      <w:framePr w:wrap="around" w:vAnchor="text" w:hAnchor="margin" w:xAlign="right" w:y="1"/>
      <w:ind w:firstLine="360"/>
      <w:rPr>
        <w:rStyle w:val="31"/>
      </w:rPr>
    </w:pPr>
    <w:r>
      <w:fldChar w:fldCharType="begin"/>
    </w:r>
    <w:r>
      <w:rPr>
        <w:rStyle w:val="31"/>
      </w:rPr>
      <w:instrText xml:space="preserve">PAGE  </w:instrText>
    </w:r>
    <w:r>
      <w:fldChar w:fldCharType="end"/>
    </w:r>
  </w:p>
  <w:p w14:paraId="4065F16E">
    <w:pPr>
      <w:pStyle w:val="17"/>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5BC07">
    <w:pPr>
      <w:pStyle w:val="17"/>
      <w:ind w:firstLine="360"/>
      <w:jc w:val="right"/>
    </w:pPr>
    <w:r>
      <w:fldChar w:fldCharType="begin"/>
    </w:r>
    <w:r>
      <w:instrText xml:space="preserve">PAGE   \* MERGEFORMAT</w:instrText>
    </w:r>
    <w:r>
      <w:fldChar w:fldCharType="separate"/>
    </w:r>
    <w:r>
      <w:rPr>
        <w:lang w:val="zh-CN" w:eastAsia="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1671754"/>
    </w:sdtPr>
    <w:sdtContent>
      <w:p w14:paraId="7E815871">
        <w:pPr>
          <w:pStyle w:val="17"/>
          <w:ind w:firstLine="360"/>
          <w:jc w:val="center"/>
        </w:pPr>
        <w:r>
          <w:fldChar w:fldCharType="begin"/>
        </w:r>
        <w:r>
          <w:instrText xml:space="preserve">PAGE   \* MERGEFORMAT</w:instrText>
        </w:r>
        <w:r>
          <w:fldChar w:fldCharType="separate"/>
        </w:r>
        <w:r>
          <w:rPr>
            <w:lang w:val="zh-CN" w:eastAsia="zh-CN"/>
          </w:rPr>
          <w:t>2</w:t>
        </w:r>
        <w:r>
          <w:fldChar w:fldCharType="end"/>
        </w:r>
      </w:p>
    </w:sdtContent>
  </w:sdt>
  <w:p w14:paraId="2246D1F4">
    <w:pPr>
      <w:pStyle w:val="17"/>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63539226"/>
    </w:sdtPr>
    <w:sdtContent>
      <w:p w14:paraId="21170CD4">
        <w:pPr>
          <w:pStyle w:val="17"/>
          <w:ind w:firstLine="360"/>
          <w:jc w:val="center"/>
        </w:pPr>
        <w:r>
          <w:fldChar w:fldCharType="begin"/>
        </w:r>
        <w:r>
          <w:instrText xml:space="preserve">PAGE   \* MERGEFORMAT</w:instrText>
        </w:r>
        <w:r>
          <w:fldChar w:fldCharType="separate"/>
        </w:r>
        <w:r>
          <w:rPr>
            <w:lang w:val="zh-CN" w:eastAsia="zh-CN"/>
          </w:rPr>
          <w:t>2</w:t>
        </w:r>
        <w:r>
          <w:fldChar w:fldCharType="end"/>
        </w:r>
      </w:p>
    </w:sdtContent>
  </w:sdt>
  <w:p w14:paraId="330BAA6C">
    <w:pPr>
      <w:pStyle w:val="17"/>
      <w:ind w:firstLine="36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AF415">
    <w:pPr>
      <w:pStyle w:val="17"/>
      <w:ind w:firstLine="420"/>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eastAsia="zh-CN"/>
      </w:rPr>
      <w:t>10</w:t>
    </w:r>
    <w:r>
      <w:rPr>
        <w:sz w:val="21"/>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1E00C">
    <w:pPr>
      <w:pStyle w:val="1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8996C">
    <w:pPr>
      <w:pStyle w:val="1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9161D">
    <w:pPr>
      <w:pStyle w:val="18"/>
      <w:pBdr>
        <w:bottom w:val="none" w:color="auto" w:sz="0" w:space="0"/>
      </w:pBdr>
      <w:ind w:firstLine="360"/>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7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77"/>
      <w:suff w:val="nothing"/>
      <w:lvlText w:val="%1.%2　"/>
      <w:lvlJc w:val="left"/>
      <w:pPr>
        <w:ind w:left="284"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80"/>
      <w:suff w:val="nothing"/>
      <w:lvlText w:val="%1.%2.%3　"/>
      <w:lvlJc w:val="left"/>
      <w:pPr>
        <w:ind w:left="1276"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81"/>
      <w:suff w:val="nothing"/>
      <w:lvlText w:val="%1.%2.%3.%4.%5　"/>
      <w:lvlJc w:val="left"/>
      <w:pPr>
        <w:ind w:left="0" w:firstLine="0"/>
      </w:pPr>
      <w:rPr>
        <w:rFonts w:hint="eastAsia" w:ascii="黑体" w:hAnsi="Times New Roman" w:eastAsia="黑体"/>
        <w:b w:val="0"/>
        <w:i w:val="0"/>
        <w:sz w:val="21"/>
      </w:rPr>
    </w:lvl>
    <w:lvl w:ilvl="5" w:tentative="0">
      <w:start w:val="1"/>
      <w:numFmt w:val="decimal"/>
      <w:pStyle w:val="82"/>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
    <w:nsid w:val="43DD47CE"/>
    <w:multiLevelType w:val="multilevel"/>
    <w:tmpl w:val="43DD47CE"/>
    <w:lvl w:ilvl="0" w:tentative="0">
      <w:start w:val="1"/>
      <w:numFmt w:val="decimal"/>
      <w:pStyle w:val="2"/>
      <w:isLgl/>
      <w:lvlText w:val="%1"/>
      <w:lvlJc w:val="left"/>
      <w:pPr>
        <w:ind w:left="0" w:firstLine="0"/>
      </w:pPr>
      <w:rPr>
        <w:rFonts w:hint="default" w:ascii="Times New Roman" w:hAnsi="Times New Roman" w:eastAsia="黑体"/>
        <w:sz w:val="32"/>
        <w:szCs w:val="21"/>
      </w:rPr>
    </w:lvl>
    <w:lvl w:ilvl="1" w:tentative="0">
      <w:start w:val="1"/>
      <w:numFmt w:val="decimal"/>
      <w:pStyle w:val="3"/>
      <w:lvlText w:val="%1.%2"/>
      <w:lvlJc w:val="left"/>
      <w:pPr>
        <w:ind w:left="1560" w:firstLine="0"/>
      </w:pPr>
      <w:rPr>
        <w:rFonts w:hint="default" w:ascii="Times New Roman" w:hAnsi="Times New Roman" w:eastAsia="黑体"/>
        <w:sz w:val="28"/>
        <w:szCs w:val="21"/>
      </w:rPr>
    </w:lvl>
    <w:lvl w:ilvl="2" w:tentative="0">
      <w:start w:val="1"/>
      <w:numFmt w:val="decimal"/>
      <w:pStyle w:val="4"/>
      <w:lvlText w:val="%1.%2.%3"/>
      <w:lvlJc w:val="left"/>
      <w:pPr>
        <w:ind w:left="0" w:firstLine="0"/>
      </w:pPr>
      <w:rPr>
        <w:rFonts w:hint="default" w:ascii="Times New Roman" w:hAnsi="Times New Roman" w:eastAsia="宋体"/>
        <w:sz w:val="24"/>
      </w:rPr>
    </w:lvl>
    <w:lvl w:ilvl="3" w:tentative="0">
      <w:start w:val="1"/>
      <w:numFmt w:val="decimal"/>
      <w:lvlRestart w:val="1"/>
      <w:pStyle w:val="8"/>
      <w:lvlText w:val="图%1-%4"/>
      <w:lvlJc w:val="left"/>
      <w:pPr>
        <w:ind w:left="3261" w:firstLine="0"/>
      </w:pPr>
      <w:rPr>
        <w:rFonts w:hint="eastAsia"/>
        <w:sz w:val="21"/>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
    <w:nsid w:val="47D74904"/>
    <w:multiLevelType w:val="multilevel"/>
    <w:tmpl w:val="47D74904"/>
    <w:lvl w:ilvl="0" w:tentative="0">
      <w:start w:val="1"/>
      <w:numFmt w:val="decimal"/>
      <w:pStyle w:val="45"/>
      <w:lvlText w:val="（%1）"/>
      <w:lvlJc w:val="left"/>
      <w:pPr>
        <w:tabs>
          <w:tab w:val="left" w:pos="104"/>
        </w:tabs>
        <w:ind w:left="-94" w:firstLine="454"/>
      </w:pPr>
      <w:rPr>
        <w:rFonts w:hint="eastAsia"/>
        <w:lang w:val="en-US"/>
      </w:rPr>
    </w:lvl>
    <w:lvl w:ilvl="1" w:tentative="0">
      <w:start w:val="1"/>
      <w:numFmt w:val="lowerLetter"/>
      <w:lvlText w:val="%2)"/>
      <w:lvlJc w:val="left"/>
      <w:pPr>
        <w:tabs>
          <w:tab w:val="left" w:pos="1020"/>
        </w:tabs>
        <w:ind w:left="1020" w:hanging="420"/>
      </w:pPr>
    </w:lvl>
    <w:lvl w:ilvl="2" w:tentative="0">
      <w:start w:val="1"/>
      <w:numFmt w:val="decimalEnclosedCircle"/>
      <w:lvlText w:val="%3"/>
      <w:lvlJc w:val="left"/>
      <w:pPr>
        <w:tabs>
          <w:tab w:val="left" w:pos="1650"/>
        </w:tabs>
        <w:ind w:left="1650" w:hanging="630"/>
      </w:pPr>
      <w:rPr>
        <w:rFonts w:hint="default"/>
      </w:rPr>
    </w:lvl>
    <w:lvl w:ilvl="3" w:tentative="0">
      <w:start w:val="1"/>
      <w:numFmt w:val="decimal"/>
      <w:lvlText w:val="%4."/>
      <w:lvlJc w:val="left"/>
      <w:pPr>
        <w:tabs>
          <w:tab w:val="left" w:pos="1860"/>
        </w:tabs>
        <w:ind w:left="1860" w:hanging="420"/>
      </w:pPr>
    </w:lvl>
    <w:lvl w:ilvl="4" w:tentative="0">
      <w:start w:val="2"/>
      <w:numFmt w:val="decimal"/>
      <w:lvlText w:val="%5）"/>
      <w:lvlJc w:val="left"/>
      <w:pPr>
        <w:tabs>
          <w:tab w:val="left" w:pos="2220"/>
        </w:tabs>
        <w:ind w:left="2220" w:hanging="360"/>
      </w:pPr>
      <w:rPr>
        <w:rFonts w:hint="eastAsia"/>
      </w:r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3">
    <w:nsid w:val="646260FA"/>
    <w:multiLevelType w:val="multilevel"/>
    <w:tmpl w:val="646260FA"/>
    <w:lvl w:ilvl="0" w:tentative="0">
      <w:start w:val="1"/>
      <w:numFmt w:val="decimal"/>
      <w:pStyle w:val="8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c3ZTZmN2NiMmU5NWM0ZTJmY2NkNWE0ZmU0OGVlZjAifQ=="/>
  </w:docVars>
  <w:rsids>
    <w:rsidRoot w:val="004F555E"/>
    <w:rsid w:val="000012AB"/>
    <w:rsid w:val="00001478"/>
    <w:rsid w:val="0000203A"/>
    <w:rsid w:val="000023DE"/>
    <w:rsid w:val="00007692"/>
    <w:rsid w:val="00007A24"/>
    <w:rsid w:val="000114DF"/>
    <w:rsid w:val="00014A7F"/>
    <w:rsid w:val="00016259"/>
    <w:rsid w:val="0001657F"/>
    <w:rsid w:val="00017361"/>
    <w:rsid w:val="000318D6"/>
    <w:rsid w:val="000359C7"/>
    <w:rsid w:val="00036A23"/>
    <w:rsid w:val="00041D07"/>
    <w:rsid w:val="000427F2"/>
    <w:rsid w:val="00042F9D"/>
    <w:rsid w:val="00044BEC"/>
    <w:rsid w:val="00045DCA"/>
    <w:rsid w:val="00046C6B"/>
    <w:rsid w:val="00047AE1"/>
    <w:rsid w:val="000500D7"/>
    <w:rsid w:val="00051D4B"/>
    <w:rsid w:val="0005239B"/>
    <w:rsid w:val="00052601"/>
    <w:rsid w:val="0005295F"/>
    <w:rsid w:val="0005375D"/>
    <w:rsid w:val="00055291"/>
    <w:rsid w:val="00055766"/>
    <w:rsid w:val="0005796D"/>
    <w:rsid w:val="000608F9"/>
    <w:rsid w:val="0006374B"/>
    <w:rsid w:val="00064643"/>
    <w:rsid w:val="000648CA"/>
    <w:rsid w:val="0006532E"/>
    <w:rsid w:val="000660AB"/>
    <w:rsid w:val="00070CBE"/>
    <w:rsid w:val="00073F1B"/>
    <w:rsid w:val="000758C9"/>
    <w:rsid w:val="00075CA6"/>
    <w:rsid w:val="00075ECE"/>
    <w:rsid w:val="0007707A"/>
    <w:rsid w:val="0007721B"/>
    <w:rsid w:val="00077CAA"/>
    <w:rsid w:val="0008106C"/>
    <w:rsid w:val="000830D3"/>
    <w:rsid w:val="00084A80"/>
    <w:rsid w:val="00090844"/>
    <w:rsid w:val="00092639"/>
    <w:rsid w:val="00093C1D"/>
    <w:rsid w:val="000A571E"/>
    <w:rsid w:val="000A6767"/>
    <w:rsid w:val="000A7D00"/>
    <w:rsid w:val="000B0761"/>
    <w:rsid w:val="000B3EB9"/>
    <w:rsid w:val="000B59D2"/>
    <w:rsid w:val="000C22B4"/>
    <w:rsid w:val="000D09C9"/>
    <w:rsid w:val="000D1C8C"/>
    <w:rsid w:val="000D31E5"/>
    <w:rsid w:val="000D3B27"/>
    <w:rsid w:val="000D7FC7"/>
    <w:rsid w:val="000E0E93"/>
    <w:rsid w:val="000E4AF9"/>
    <w:rsid w:val="000E564D"/>
    <w:rsid w:val="000E56E3"/>
    <w:rsid w:val="000E5B15"/>
    <w:rsid w:val="000E7255"/>
    <w:rsid w:val="000E727F"/>
    <w:rsid w:val="000F222C"/>
    <w:rsid w:val="000F3167"/>
    <w:rsid w:val="000F7144"/>
    <w:rsid w:val="00100EB8"/>
    <w:rsid w:val="00101A97"/>
    <w:rsid w:val="00103768"/>
    <w:rsid w:val="0010743A"/>
    <w:rsid w:val="001125EA"/>
    <w:rsid w:val="00115481"/>
    <w:rsid w:val="0011781D"/>
    <w:rsid w:val="00117C60"/>
    <w:rsid w:val="0012342C"/>
    <w:rsid w:val="00126E6C"/>
    <w:rsid w:val="001318CB"/>
    <w:rsid w:val="00131E67"/>
    <w:rsid w:val="00132399"/>
    <w:rsid w:val="00143010"/>
    <w:rsid w:val="001430BF"/>
    <w:rsid w:val="00145646"/>
    <w:rsid w:val="00145E01"/>
    <w:rsid w:val="00146832"/>
    <w:rsid w:val="001474EE"/>
    <w:rsid w:val="00147BD8"/>
    <w:rsid w:val="001510BA"/>
    <w:rsid w:val="00151F2D"/>
    <w:rsid w:val="00154F5F"/>
    <w:rsid w:val="0015768A"/>
    <w:rsid w:val="00157D41"/>
    <w:rsid w:val="00161BF7"/>
    <w:rsid w:val="00164C64"/>
    <w:rsid w:val="001719EA"/>
    <w:rsid w:val="00174CA8"/>
    <w:rsid w:val="00175C81"/>
    <w:rsid w:val="00177678"/>
    <w:rsid w:val="00177F25"/>
    <w:rsid w:val="00184648"/>
    <w:rsid w:val="00185BF7"/>
    <w:rsid w:val="00190C49"/>
    <w:rsid w:val="0019304F"/>
    <w:rsid w:val="0019403D"/>
    <w:rsid w:val="001A011B"/>
    <w:rsid w:val="001A175E"/>
    <w:rsid w:val="001A2A7E"/>
    <w:rsid w:val="001A461C"/>
    <w:rsid w:val="001A4942"/>
    <w:rsid w:val="001A4DDB"/>
    <w:rsid w:val="001A5DA7"/>
    <w:rsid w:val="001A717B"/>
    <w:rsid w:val="001B18A2"/>
    <w:rsid w:val="001B559B"/>
    <w:rsid w:val="001B5AB2"/>
    <w:rsid w:val="001B625A"/>
    <w:rsid w:val="001B6917"/>
    <w:rsid w:val="001B6F9A"/>
    <w:rsid w:val="001B776B"/>
    <w:rsid w:val="001C09D7"/>
    <w:rsid w:val="001C14BA"/>
    <w:rsid w:val="001C2F06"/>
    <w:rsid w:val="001C3243"/>
    <w:rsid w:val="001C41D9"/>
    <w:rsid w:val="001C4571"/>
    <w:rsid w:val="001C5C0D"/>
    <w:rsid w:val="001C6C05"/>
    <w:rsid w:val="001D2361"/>
    <w:rsid w:val="001D56FF"/>
    <w:rsid w:val="001D6A05"/>
    <w:rsid w:val="001D6AF5"/>
    <w:rsid w:val="001E0D54"/>
    <w:rsid w:val="001E35C0"/>
    <w:rsid w:val="001E7B48"/>
    <w:rsid w:val="001F0E3A"/>
    <w:rsid w:val="001F0FF4"/>
    <w:rsid w:val="001F1CE1"/>
    <w:rsid w:val="001F261B"/>
    <w:rsid w:val="001F33A6"/>
    <w:rsid w:val="001F4512"/>
    <w:rsid w:val="00200CF2"/>
    <w:rsid w:val="0020306B"/>
    <w:rsid w:val="00204BC9"/>
    <w:rsid w:val="0021242C"/>
    <w:rsid w:val="00213AA2"/>
    <w:rsid w:val="00213D6E"/>
    <w:rsid w:val="00213EF3"/>
    <w:rsid w:val="00214C70"/>
    <w:rsid w:val="00215C1B"/>
    <w:rsid w:val="0021647F"/>
    <w:rsid w:val="00220798"/>
    <w:rsid w:val="00220E2E"/>
    <w:rsid w:val="00221F3A"/>
    <w:rsid w:val="00222A47"/>
    <w:rsid w:val="00224632"/>
    <w:rsid w:val="002255F6"/>
    <w:rsid w:val="00226CD0"/>
    <w:rsid w:val="00231130"/>
    <w:rsid w:val="00233F81"/>
    <w:rsid w:val="002352F8"/>
    <w:rsid w:val="002357FB"/>
    <w:rsid w:val="00235A95"/>
    <w:rsid w:val="00237294"/>
    <w:rsid w:val="0023788E"/>
    <w:rsid w:val="00237AAB"/>
    <w:rsid w:val="00237F20"/>
    <w:rsid w:val="00240332"/>
    <w:rsid w:val="002410F5"/>
    <w:rsid w:val="00242FE8"/>
    <w:rsid w:val="0024413F"/>
    <w:rsid w:val="002443BB"/>
    <w:rsid w:val="00244C95"/>
    <w:rsid w:val="00244E2A"/>
    <w:rsid w:val="002453EA"/>
    <w:rsid w:val="002460E5"/>
    <w:rsid w:val="00247098"/>
    <w:rsid w:val="00247581"/>
    <w:rsid w:val="00250C8D"/>
    <w:rsid w:val="00250F89"/>
    <w:rsid w:val="00251E50"/>
    <w:rsid w:val="00252EA2"/>
    <w:rsid w:val="00253FB0"/>
    <w:rsid w:val="002543C2"/>
    <w:rsid w:val="002560D8"/>
    <w:rsid w:val="00257626"/>
    <w:rsid w:val="00261F0E"/>
    <w:rsid w:val="0026285A"/>
    <w:rsid w:val="00263F99"/>
    <w:rsid w:val="0026441A"/>
    <w:rsid w:val="002655B2"/>
    <w:rsid w:val="002660BC"/>
    <w:rsid w:val="002704D9"/>
    <w:rsid w:val="0027085B"/>
    <w:rsid w:val="00270ED6"/>
    <w:rsid w:val="00272A44"/>
    <w:rsid w:val="00273B4D"/>
    <w:rsid w:val="00277333"/>
    <w:rsid w:val="00277E04"/>
    <w:rsid w:val="00277EAB"/>
    <w:rsid w:val="002804BF"/>
    <w:rsid w:val="002811C0"/>
    <w:rsid w:val="002816B4"/>
    <w:rsid w:val="00284560"/>
    <w:rsid w:val="00284EB2"/>
    <w:rsid w:val="00285D33"/>
    <w:rsid w:val="00286B2E"/>
    <w:rsid w:val="00286CEA"/>
    <w:rsid w:val="002907F3"/>
    <w:rsid w:val="00290B61"/>
    <w:rsid w:val="00293238"/>
    <w:rsid w:val="00293A63"/>
    <w:rsid w:val="0029509D"/>
    <w:rsid w:val="00296301"/>
    <w:rsid w:val="00296BC1"/>
    <w:rsid w:val="002A2CBA"/>
    <w:rsid w:val="002A77B5"/>
    <w:rsid w:val="002B140E"/>
    <w:rsid w:val="002B2D53"/>
    <w:rsid w:val="002B4A35"/>
    <w:rsid w:val="002B6BFE"/>
    <w:rsid w:val="002B702F"/>
    <w:rsid w:val="002B706C"/>
    <w:rsid w:val="002B7439"/>
    <w:rsid w:val="002C1FD4"/>
    <w:rsid w:val="002C4176"/>
    <w:rsid w:val="002C5B3D"/>
    <w:rsid w:val="002C65BF"/>
    <w:rsid w:val="002D093C"/>
    <w:rsid w:val="002D0CF6"/>
    <w:rsid w:val="002D2A05"/>
    <w:rsid w:val="002D317A"/>
    <w:rsid w:val="002D6F41"/>
    <w:rsid w:val="002D7672"/>
    <w:rsid w:val="002E0FFE"/>
    <w:rsid w:val="002E2A64"/>
    <w:rsid w:val="002E5E84"/>
    <w:rsid w:val="002E6072"/>
    <w:rsid w:val="002E7DA7"/>
    <w:rsid w:val="002F0525"/>
    <w:rsid w:val="002F0F3C"/>
    <w:rsid w:val="002F20CC"/>
    <w:rsid w:val="002F3E44"/>
    <w:rsid w:val="002F69A6"/>
    <w:rsid w:val="002F72DC"/>
    <w:rsid w:val="002F75E7"/>
    <w:rsid w:val="00300EE1"/>
    <w:rsid w:val="0030373E"/>
    <w:rsid w:val="0030484A"/>
    <w:rsid w:val="00304CE4"/>
    <w:rsid w:val="00305C20"/>
    <w:rsid w:val="00305CAD"/>
    <w:rsid w:val="00306C0D"/>
    <w:rsid w:val="00307B21"/>
    <w:rsid w:val="003101F6"/>
    <w:rsid w:val="00312D72"/>
    <w:rsid w:val="0031534E"/>
    <w:rsid w:val="0031732A"/>
    <w:rsid w:val="003206AC"/>
    <w:rsid w:val="0032086E"/>
    <w:rsid w:val="00321527"/>
    <w:rsid w:val="00322FC6"/>
    <w:rsid w:val="0032346E"/>
    <w:rsid w:val="00323638"/>
    <w:rsid w:val="00324431"/>
    <w:rsid w:val="0032660E"/>
    <w:rsid w:val="00326D13"/>
    <w:rsid w:val="00326EEF"/>
    <w:rsid w:val="0033025D"/>
    <w:rsid w:val="0033149A"/>
    <w:rsid w:val="00332B2C"/>
    <w:rsid w:val="00333622"/>
    <w:rsid w:val="00335A19"/>
    <w:rsid w:val="00336AB0"/>
    <w:rsid w:val="00337D64"/>
    <w:rsid w:val="00341608"/>
    <w:rsid w:val="0034253F"/>
    <w:rsid w:val="00343BAB"/>
    <w:rsid w:val="003462B4"/>
    <w:rsid w:val="0035007C"/>
    <w:rsid w:val="0035083A"/>
    <w:rsid w:val="00350C36"/>
    <w:rsid w:val="0035264E"/>
    <w:rsid w:val="00355F62"/>
    <w:rsid w:val="00356C83"/>
    <w:rsid w:val="00356F0F"/>
    <w:rsid w:val="0036086A"/>
    <w:rsid w:val="00363CD1"/>
    <w:rsid w:val="003668E7"/>
    <w:rsid w:val="00371AD7"/>
    <w:rsid w:val="00372632"/>
    <w:rsid w:val="00380624"/>
    <w:rsid w:val="00380D98"/>
    <w:rsid w:val="00380F01"/>
    <w:rsid w:val="00382A33"/>
    <w:rsid w:val="00385C73"/>
    <w:rsid w:val="00393456"/>
    <w:rsid w:val="00395D25"/>
    <w:rsid w:val="003A2061"/>
    <w:rsid w:val="003A2D09"/>
    <w:rsid w:val="003A3BCC"/>
    <w:rsid w:val="003A5920"/>
    <w:rsid w:val="003A671C"/>
    <w:rsid w:val="003B0103"/>
    <w:rsid w:val="003B0E60"/>
    <w:rsid w:val="003B18C3"/>
    <w:rsid w:val="003B20FB"/>
    <w:rsid w:val="003B31F0"/>
    <w:rsid w:val="003B440D"/>
    <w:rsid w:val="003B50AE"/>
    <w:rsid w:val="003B68F7"/>
    <w:rsid w:val="003B7A68"/>
    <w:rsid w:val="003C048E"/>
    <w:rsid w:val="003C0A1D"/>
    <w:rsid w:val="003C3AF6"/>
    <w:rsid w:val="003C6482"/>
    <w:rsid w:val="003C6F71"/>
    <w:rsid w:val="003C74C8"/>
    <w:rsid w:val="003C7663"/>
    <w:rsid w:val="003C7D9E"/>
    <w:rsid w:val="003D38EA"/>
    <w:rsid w:val="003D3DC9"/>
    <w:rsid w:val="003E22B9"/>
    <w:rsid w:val="003E2781"/>
    <w:rsid w:val="003E28F5"/>
    <w:rsid w:val="003E4A3B"/>
    <w:rsid w:val="003E4C74"/>
    <w:rsid w:val="003E5053"/>
    <w:rsid w:val="003E5BAD"/>
    <w:rsid w:val="003E6D4E"/>
    <w:rsid w:val="003F2A05"/>
    <w:rsid w:val="003F5944"/>
    <w:rsid w:val="003F73FF"/>
    <w:rsid w:val="004034C9"/>
    <w:rsid w:val="004044DE"/>
    <w:rsid w:val="004063B9"/>
    <w:rsid w:val="00406740"/>
    <w:rsid w:val="00407C0D"/>
    <w:rsid w:val="00415C79"/>
    <w:rsid w:val="00416EAD"/>
    <w:rsid w:val="00420FC5"/>
    <w:rsid w:val="00421A07"/>
    <w:rsid w:val="00423393"/>
    <w:rsid w:val="004235E4"/>
    <w:rsid w:val="00423E54"/>
    <w:rsid w:val="00423FA6"/>
    <w:rsid w:val="004326A2"/>
    <w:rsid w:val="00432A1A"/>
    <w:rsid w:val="00437264"/>
    <w:rsid w:val="00437F09"/>
    <w:rsid w:val="00441BDA"/>
    <w:rsid w:val="00443B9F"/>
    <w:rsid w:val="004475CE"/>
    <w:rsid w:val="00453DE7"/>
    <w:rsid w:val="0045683C"/>
    <w:rsid w:val="00456B3D"/>
    <w:rsid w:val="00456F0F"/>
    <w:rsid w:val="004659BA"/>
    <w:rsid w:val="004675F0"/>
    <w:rsid w:val="0047321D"/>
    <w:rsid w:val="00473ADD"/>
    <w:rsid w:val="00474011"/>
    <w:rsid w:val="004759CB"/>
    <w:rsid w:val="00475C54"/>
    <w:rsid w:val="004773EA"/>
    <w:rsid w:val="004809C2"/>
    <w:rsid w:val="0048274F"/>
    <w:rsid w:val="00483733"/>
    <w:rsid w:val="00485705"/>
    <w:rsid w:val="00491EC8"/>
    <w:rsid w:val="0049209C"/>
    <w:rsid w:val="004961B3"/>
    <w:rsid w:val="0049691A"/>
    <w:rsid w:val="00496AB1"/>
    <w:rsid w:val="004A1960"/>
    <w:rsid w:val="004A2D7B"/>
    <w:rsid w:val="004A33BD"/>
    <w:rsid w:val="004A3999"/>
    <w:rsid w:val="004A4249"/>
    <w:rsid w:val="004A42C2"/>
    <w:rsid w:val="004A4D63"/>
    <w:rsid w:val="004A54B8"/>
    <w:rsid w:val="004B1023"/>
    <w:rsid w:val="004B22E6"/>
    <w:rsid w:val="004B2C70"/>
    <w:rsid w:val="004C09EC"/>
    <w:rsid w:val="004C1045"/>
    <w:rsid w:val="004C2378"/>
    <w:rsid w:val="004C3841"/>
    <w:rsid w:val="004C77CD"/>
    <w:rsid w:val="004C7ADE"/>
    <w:rsid w:val="004D25C6"/>
    <w:rsid w:val="004D5F76"/>
    <w:rsid w:val="004D77FA"/>
    <w:rsid w:val="004E0016"/>
    <w:rsid w:val="004E2D48"/>
    <w:rsid w:val="004E4919"/>
    <w:rsid w:val="004E595A"/>
    <w:rsid w:val="004F1B71"/>
    <w:rsid w:val="004F255D"/>
    <w:rsid w:val="004F36EB"/>
    <w:rsid w:val="004F4F6F"/>
    <w:rsid w:val="004F4F9C"/>
    <w:rsid w:val="004F555E"/>
    <w:rsid w:val="004F7376"/>
    <w:rsid w:val="00500230"/>
    <w:rsid w:val="00501D7D"/>
    <w:rsid w:val="005025CB"/>
    <w:rsid w:val="0050354D"/>
    <w:rsid w:val="005066B6"/>
    <w:rsid w:val="00506F87"/>
    <w:rsid w:val="00510D25"/>
    <w:rsid w:val="00512015"/>
    <w:rsid w:val="00512649"/>
    <w:rsid w:val="00512E0D"/>
    <w:rsid w:val="005149E4"/>
    <w:rsid w:val="00515837"/>
    <w:rsid w:val="005167F9"/>
    <w:rsid w:val="00516A67"/>
    <w:rsid w:val="00517CF5"/>
    <w:rsid w:val="00517EBA"/>
    <w:rsid w:val="005233A5"/>
    <w:rsid w:val="00523C54"/>
    <w:rsid w:val="00523D80"/>
    <w:rsid w:val="00526D52"/>
    <w:rsid w:val="00527862"/>
    <w:rsid w:val="0053197A"/>
    <w:rsid w:val="0053314C"/>
    <w:rsid w:val="005333C2"/>
    <w:rsid w:val="00533412"/>
    <w:rsid w:val="005353AC"/>
    <w:rsid w:val="005364E4"/>
    <w:rsid w:val="00536E5E"/>
    <w:rsid w:val="005406AA"/>
    <w:rsid w:val="00543260"/>
    <w:rsid w:val="005438EA"/>
    <w:rsid w:val="00544480"/>
    <w:rsid w:val="00544DB1"/>
    <w:rsid w:val="00544DE0"/>
    <w:rsid w:val="005466C8"/>
    <w:rsid w:val="00550835"/>
    <w:rsid w:val="00550CD9"/>
    <w:rsid w:val="00551260"/>
    <w:rsid w:val="00551832"/>
    <w:rsid w:val="00551937"/>
    <w:rsid w:val="00551FC1"/>
    <w:rsid w:val="0055375D"/>
    <w:rsid w:val="00554584"/>
    <w:rsid w:val="00556006"/>
    <w:rsid w:val="00556BDB"/>
    <w:rsid w:val="00557D6F"/>
    <w:rsid w:val="00557F23"/>
    <w:rsid w:val="0056031E"/>
    <w:rsid w:val="00560828"/>
    <w:rsid w:val="00562360"/>
    <w:rsid w:val="00566FA4"/>
    <w:rsid w:val="005676CF"/>
    <w:rsid w:val="00567BAC"/>
    <w:rsid w:val="00572006"/>
    <w:rsid w:val="00572344"/>
    <w:rsid w:val="00573B25"/>
    <w:rsid w:val="00576B55"/>
    <w:rsid w:val="00577F73"/>
    <w:rsid w:val="00580E82"/>
    <w:rsid w:val="0058162E"/>
    <w:rsid w:val="00582D4B"/>
    <w:rsid w:val="0058304F"/>
    <w:rsid w:val="00585CAE"/>
    <w:rsid w:val="00586FC3"/>
    <w:rsid w:val="005904D6"/>
    <w:rsid w:val="00591EEF"/>
    <w:rsid w:val="0059219A"/>
    <w:rsid w:val="00596945"/>
    <w:rsid w:val="005970CE"/>
    <w:rsid w:val="005A062A"/>
    <w:rsid w:val="005A063E"/>
    <w:rsid w:val="005A0E04"/>
    <w:rsid w:val="005A1817"/>
    <w:rsid w:val="005A44C1"/>
    <w:rsid w:val="005A511A"/>
    <w:rsid w:val="005B38F3"/>
    <w:rsid w:val="005C1E15"/>
    <w:rsid w:val="005C20EA"/>
    <w:rsid w:val="005C4306"/>
    <w:rsid w:val="005C478D"/>
    <w:rsid w:val="005C6980"/>
    <w:rsid w:val="005C69E0"/>
    <w:rsid w:val="005C6DCF"/>
    <w:rsid w:val="005D0227"/>
    <w:rsid w:val="005D1832"/>
    <w:rsid w:val="005D2D63"/>
    <w:rsid w:val="005D3D86"/>
    <w:rsid w:val="005D3E74"/>
    <w:rsid w:val="005D437F"/>
    <w:rsid w:val="005D5A52"/>
    <w:rsid w:val="005D7C66"/>
    <w:rsid w:val="005E1F37"/>
    <w:rsid w:val="005E22D7"/>
    <w:rsid w:val="005E3202"/>
    <w:rsid w:val="005E51B1"/>
    <w:rsid w:val="005E7515"/>
    <w:rsid w:val="005E773A"/>
    <w:rsid w:val="005F0F9D"/>
    <w:rsid w:val="005F18A2"/>
    <w:rsid w:val="005F3A36"/>
    <w:rsid w:val="005F3E96"/>
    <w:rsid w:val="005F44A7"/>
    <w:rsid w:val="005F7EE4"/>
    <w:rsid w:val="00600D56"/>
    <w:rsid w:val="00601E58"/>
    <w:rsid w:val="006022E2"/>
    <w:rsid w:val="0060379D"/>
    <w:rsid w:val="00604FA0"/>
    <w:rsid w:val="0061016C"/>
    <w:rsid w:val="0061056D"/>
    <w:rsid w:val="0061362B"/>
    <w:rsid w:val="00613F60"/>
    <w:rsid w:val="006148E0"/>
    <w:rsid w:val="00614954"/>
    <w:rsid w:val="006171EC"/>
    <w:rsid w:val="00617AA2"/>
    <w:rsid w:val="006231A7"/>
    <w:rsid w:val="0062439A"/>
    <w:rsid w:val="00626815"/>
    <w:rsid w:val="00630143"/>
    <w:rsid w:val="006322E7"/>
    <w:rsid w:val="00640959"/>
    <w:rsid w:val="0064119D"/>
    <w:rsid w:val="006413E2"/>
    <w:rsid w:val="006419A8"/>
    <w:rsid w:val="00643DEA"/>
    <w:rsid w:val="0064606B"/>
    <w:rsid w:val="00647AA3"/>
    <w:rsid w:val="006500DE"/>
    <w:rsid w:val="00653A71"/>
    <w:rsid w:val="00656C04"/>
    <w:rsid w:val="00662AB3"/>
    <w:rsid w:val="0066635D"/>
    <w:rsid w:val="00666C92"/>
    <w:rsid w:val="00671151"/>
    <w:rsid w:val="0067399C"/>
    <w:rsid w:val="006749AB"/>
    <w:rsid w:val="00675865"/>
    <w:rsid w:val="006764DD"/>
    <w:rsid w:val="00677DDC"/>
    <w:rsid w:val="00681BA7"/>
    <w:rsid w:val="00684FAE"/>
    <w:rsid w:val="00685636"/>
    <w:rsid w:val="006858E0"/>
    <w:rsid w:val="006865E4"/>
    <w:rsid w:val="006908A3"/>
    <w:rsid w:val="006940A5"/>
    <w:rsid w:val="00694DF3"/>
    <w:rsid w:val="00695C87"/>
    <w:rsid w:val="00696AA7"/>
    <w:rsid w:val="006A5A3C"/>
    <w:rsid w:val="006B261C"/>
    <w:rsid w:val="006B4EA6"/>
    <w:rsid w:val="006C1891"/>
    <w:rsid w:val="006C2A07"/>
    <w:rsid w:val="006C3EF4"/>
    <w:rsid w:val="006C4521"/>
    <w:rsid w:val="006C47B0"/>
    <w:rsid w:val="006C557F"/>
    <w:rsid w:val="006C5C1A"/>
    <w:rsid w:val="006C606A"/>
    <w:rsid w:val="006C6647"/>
    <w:rsid w:val="006C6B48"/>
    <w:rsid w:val="006D05AC"/>
    <w:rsid w:val="006D6C26"/>
    <w:rsid w:val="006D78DB"/>
    <w:rsid w:val="006E2F9E"/>
    <w:rsid w:val="006E7D38"/>
    <w:rsid w:val="006F4C94"/>
    <w:rsid w:val="007008A7"/>
    <w:rsid w:val="0070147A"/>
    <w:rsid w:val="00702A4E"/>
    <w:rsid w:val="00704F74"/>
    <w:rsid w:val="00711B6E"/>
    <w:rsid w:val="0071215C"/>
    <w:rsid w:val="0071269A"/>
    <w:rsid w:val="00713885"/>
    <w:rsid w:val="0071677A"/>
    <w:rsid w:val="00716D69"/>
    <w:rsid w:val="0072164F"/>
    <w:rsid w:val="00722235"/>
    <w:rsid w:val="00724936"/>
    <w:rsid w:val="00725053"/>
    <w:rsid w:val="00726998"/>
    <w:rsid w:val="0072770D"/>
    <w:rsid w:val="00727E0A"/>
    <w:rsid w:val="00731033"/>
    <w:rsid w:val="00732453"/>
    <w:rsid w:val="007327BE"/>
    <w:rsid w:val="007337B6"/>
    <w:rsid w:val="007366C5"/>
    <w:rsid w:val="00736A0E"/>
    <w:rsid w:val="007379B1"/>
    <w:rsid w:val="00742CCF"/>
    <w:rsid w:val="00743779"/>
    <w:rsid w:val="00744D25"/>
    <w:rsid w:val="007450DD"/>
    <w:rsid w:val="0074686D"/>
    <w:rsid w:val="00746D09"/>
    <w:rsid w:val="007536D8"/>
    <w:rsid w:val="00755156"/>
    <w:rsid w:val="00756515"/>
    <w:rsid w:val="007606E8"/>
    <w:rsid w:val="00760B9B"/>
    <w:rsid w:val="00760FAE"/>
    <w:rsid w:val="007614A0"/>
    <w:rsid w:val="00761C73"/>
    <w:rsid w:val="00761D79"/>
    <w:rsid w:val="00763585"/>
    <w:rsid w:val="00763691"/>
    <w:rsid w:val="00770CE9"/>
    <w:rsid w:val="00771A33"/>
    <w:rsid w:val="007727F5"/>
    <w:rsid w:val="00772F79"/>
    <w:rsid w:val="00776089"/>
    <w:rsid w:val="00776998"/>
    <w:rsid w:val="00777B4E"/>
    <w:rsid w:val="00780436"/>
    <w:rsid w:val="007833BC"/>
    <w:rsid w:val="007864AB"/>
    <w:rsid w:val="00786E11"/>
    <w:rsid w:val="00787211"/>
    <w:rsid w:val="0079016F"/>
    <w:rsid w:val="00790845"/>
    <w:rsid w:val="007928BD"/>
    <w:rsid w:val="00795DBD"/>
    <w:rsid w:val="00796EF1"/>
    <w:rsid w:val="007972EF"/>
    <w:rsid w:val="007A0029"/>
    <w:rsid w:val="007A034B"/>
    <w:rsid w:val="007A0761"/>
    <w:rsid w:val="007A10C6"/>
    <w:rsid w:val="007A1449"/>
    <w:rsid w:val="007A3589"/>
    <w:rsid w:val="007A4B1B"/>
    <w:rsid w:val="007A4B8D"/>
    <w:rsid w:val="007A5382"/>
    <w:rsid w:val="007A6C96"/>
    <w:rsid w:val="007A7F04"/>
    <w:rsid w:val="007B23B1"/>
    <w:rsid w:val="007B4701"/>
    <w:rsid w:val="007B51E7"/>
    <w:rsid w:val="007B7AB4"/>
    <w:rsid w:val="007C291E"/>
    <w:rsid w:val="007D0C32"/>
    <w:rsid w:val="007D0D1C"/>
    <w:rsid w:val="007D0EFC"/>
    <w:rsid w:val="007D1972"/>
    <w:rsid w:val="007D1D04"/>
    <w:rsid w:val="007D2515"/>
    <w:rsid w:val="007D2C1D"/>
    <w:rsid w:val="007D4CEE"/>
    <w:rsid w:val="007D583C"/>
    <w:rsid w:val="007D5C26"/>
    <w:rsid w:val="007D6052"/>
    <w:rsid w:val="007D62E2"/>
    <w:rsid w:val="007D761A"/>
    <w:rsid w:val="007E1CB1"/>
    <w:rsid w:val="007E45AE"/>
    <w:rsid w:val="007E4D05"/>
    <w:rsid w:val="007E79E6"/>
    <w:rsid w:val="007F1AC5"/>
    <w:rsid w:val="007F5433"/>
    <w:rsid w:val="00800988"/>
    <w:rsid w:val="00801396"/>
    <w:rsid w:val="0080185D"/>
    <w:rsid w:val="00801C75"/>
    <w:rsid w:val="00804198"/>
    <w:rsid w:val="00804FD5"/>
    <w:rsid w:val="008060CC"/>
    <w:rsid w:val="008064BE"/>
    <w:rsid w:val="00813203"/>
    <w:rsid w:val="00815D02"/>
    <w:rsid w:val="008203EA"/>
    <w:rsid w:val="00820996"/>
    <w:rsid w:val="00821253"/>
    <w:rsid w:val="0082198F"/>
    <w:rsid w:val="00822DE1"/>
    <w:rsid w:val="00823B16"/>
    <w:rsid w:val="00824F09"/>
    <w:rsid w:val="0082772B"/>
    <w:rsid w:val="00831383"/>
    <w:rsid w:val="00833A59"/>
    <w:rsid w:val="00833C98"/>
    <w:rsid w:val="008348CC"/>
    <w:rsid w:val="008363B5"/>
    <w:rsid w:val="00841596"/>
    <w:rsid w:val="008432D6"/>
    <w:rsid w:val="00843C5B"/>
    <w:rsid w:val="00844144"/>
    <w:rsid w:val="00844956"/>
    <w:rsid w:val="008449CA"/>
    <w:rsid w:val="00845120"/>
    <w:rsid w:val="00846D98"/>
    <w:rsid w:val="00851FC4"/>
    <w:rsid w:val="008521A5"/>
    <w:rsid w:val="00852384"/>
    <w:rsid w:val="008523CB"/>
    <w:rsid w:val="00852643"/>
    <w:rsid w:val="008540D3"/>
    <w:rsid w:val="00857953"/>
    <w:rsid w:val="00860474"/>
    <w:rsid w:val="00860A80"/>
    <w:rsid w:val="00863D34"/>
    <w:rsid w:val="00864E3F"/>
    <w:rsid w:val="0086517E"/>
    <w:rsid w:val="00865FF5"/>
    <w:rsid w:val="00870A95"/>
    <w:rsid w:val="008820F2"/>
    <w:rsid w:val="008830D7"/>
    <w:rsid w:val="008842D8"/>
    <w:rsid w:val="00884382"/>
    <w:rsid w:val="00885281"/>
    <w:rsid w:val="00885D92"/>
    <w:rsid w:val="00886DB9"/>
    <w:rsid w:val="008919B6"/>
    <w:rsid w:val="008921E0"/>
    <w:rsid w:val="008937E3"/>
    <w:rsid w:val="008942E6"/>
    <w:rsid w:val="00894C7A"/>
    <w:rsid w:val="00895788"/>
    <w:rsid w:val="0089724F"/>
    <w:rsid w:val="008976CE"/>
    <w:rsid w:val="008A0087"/>
    <w:rsid w:val="008A0958"/>
    <w:rsid w:val="008A0FC9"/>
    <w:rsid w:val="008A2FED"/>
    <w:rsid w:val="008A4CF5"/>
    <w:rsid w:val="008A617E"/>
    <w:rsid w:val="008A6214"/>
    <w:rsid w:val="008B0D3F"/>
    <w:rsid w:val="008B1A10"/>
    <w:rsid w:val="008B2610"/>
    <w:rsid w:val="008B4CD3"/>
    <w:rsid w:val="008C1AEB"/>
    <w:rsid w:val="008C1FEE"/>
    <w:rsid w:val="008C536A"/>
    <w:rsid w:val="008C7C9D"/>
    <w:rsid w:val="008D1F1A"/>
    <w:rsid w:val="008D3046"/>
    <w:rsid w:val="008D3F61"/>
    <w:rsid w:val="008D46EA"/>
    <w:rsid w:val="008D5DAD"/>
    <w:rsid w:val="008D628E"/>
    <w:rsid w:val="008E09C7"/>
    <w:rsid w:val="008E24AB"/>
    <w:rsid w:val="008E3AF6"/>
    <w:rsid w:val="008E3FD1"/>
    <w:rsid w:val="008E5BC8"/>
    <w:rsid w:val="008F075F"/>
    <w:rsid w:val="008F0EFB"/>
    <w:rsid w:val="008F0EFE"/>
    <w:rsid w:val="008F2FB5"/>
    <w:rsid w:val="008F452C"/>
    <w:rsid w:val="008F61C9"/>
    <w:rsid w:val="008F7718"/>
    <w:rsid w:val="0090172C"/>
    <w:rsid w:val="0090265D"/>
    <w:rsid w:val="009037A5"/>
    <w:rsid w:val="0090494C"/>
    <w:rsid w:val="00906118"/>
    <w:rsid w:val="00907670"/>
    <w:rsid w:val="00911F23"/>
    <w:rsid w:val="00912EB6"/>
    <w:rsid w:val="00914300"/>
    <w:rsid w:val="00917941"/>
    <w:rsid w:val="00917F73"/>
    <w:rsid w:val="009204C4"/>
    <w:rsid w:val="00920980"/>
    <w:rsid w:val="00920E18"/>
    <w:rsid w:val="0092295A"/>
    <w:rsid w:val="00922C94"/>
    <w:rsid w:val="00922FB4"/>
    <w:rsid w:val="009246A2"/>
    <w:rsid w:val="0092488C"/>
    <w:rsid w:val="009265A3"/>
    <w:rsid w:val="00926E0B"/>
    <w:rsid w:val="00932178"/>
    <w:rsid w:val="00932F4F"/>
    <w:rsid w:val="00934704"/>
    <w:rsid w:val="00935E47"/>
    <w:rsid w:val="00937C57"/>
    <w:rsid w:val="009428FB"/>
    <w:rsid w:val="00942C50"/>
    <w:rsid w:val="0094312A"/>
    <w:rsid w:val="0094361E"/>
    <w:rsid w:val="00943C8A"/>
    <w:rsid w:val="009447AA"/>
    <w:rsid w:val="00945AEA"/>
    <w:rsid w:val="0094657F"/>
    <w:rsid w:val="00946998"/>
    <w:rsid w:val="00947CCD"/>
    <w:rsid w:val="00950A0B"/>
    <w:rsid w:val="009600C7"/>
    <w:rsid w:val="00964557"/>
    <w:rsid w:val="009665B8"/>
    <w:rsid w:val="009710E0"/>
    <w:rsid w:val="00974A91"/>
    <w:rsid w:val="00975650"/>
    <w:rsid w:val="00975BA7"/>
    <w:rsid w:val="00976FBD"/>
    <w:rsid w:val="00981286"/>
    <w:rsid w:val="00981666"/>
    <w:rsid w:val="00982331"/>
    <w:rsid w:val="00985771"/>
    <w:rsid w:val="00985D40"/>
    <w:rsid w:val="00985E7B"/>
    <w:rsid w:val="00986B37"/>
    <w:rsid w:val="0098700F"/>
    <w:rsid w:val="00990880"/>
    <w:rsid w:val="009909C2"/>
    <w:rsid w:val="009939CB"/>
    <w:rsid w:val="00997190"/>
    <w:rsid w:val="00997DFE"/>
    <w:rsid w:val="009A32B8"/>
    <w:rsid w:val="009A5637"/>
    <w:rsid w:val="009A5B5C"/>
    <w:rsid w:val="009A6096"/>
    <w:rsid w:val="009B1346"/>
    <w:rsid w:val="009B16A8"/>
    <w:rsid w:val="009C0968"/>
    <w:rsid w:val="009C34D8"/>
    <w:rsid w:val="009C5289"/>
    <w:rsid w:val="009C589C"/>
    <w:rsid w:val="009C76BF"/>
    <w:rsid w:val="009C7CC8"/>
    <w:rsid w:val="009D0AEE"/>
    <w:rsid w:val="009D0C05"/>
    <w:rsid w:val="009D156A"/>
    <w:rsid w:val="009D2D7C"/>
    <w:rsid w:val="009D33B3"/>
    <w:rsid w:val="009D7985"/>
    <w:rsid w:val="009D7D88"/>
    <w:rsid w:val="009D7F1D"/>
    <w:rsid w:val="009E3819"/>
    <w:rsid w:val="009E54FA"/>
    <w:rsid w:val="009E6A0E"/>
    <w:rsid w:val="009F0A3B"/>
    <w:rsid w:val="009F0E41"/>
    <w:rsid w:val="009F1ED4"/>
    <w:rsid w:val="009F3581"/>
    <w:rsid w:val="009F3B33"/>
    <w:rsid w:val="009F3D26"/>
    <w:rsid w:val="009F4947"/>
    <w:rsid w:val="009F5F01"/>
    <w:rsid w:val="009F7E84"/>
    <w:rsid w:val="00A008AD"/>
    <w:rsid w:val="00A011FD"/>
    <w:rsid w:val="00A03CF5"/>
    <w:rsid w:val="00A04F56"/>
    <w:rsid w:val="00A0520D"/>
    <w:rsid w:val="00A0557B"/>
    <w:rsid w:val="00A07AD9"/>
    <w:rsid w:val="00A107ED"/>
    <w:rsid w:val="00A10C31"/>
    <w:rsid w:val="00A11A3C"/>
    <w:rsid w:val="00A12007"/>
    <w:rsid w:val="00A128AB"/>
    <w:rsid w:val="00A12DDA"/>
    <w:rsid w:val="00A155D1"/>
    <w:rsid w:val="00A16281"/>
    <w:rsid w:val="00A175A1"/>
    <w:rsid w:val="00A178B1"/>
    <w:rsid w:val="00A23C5C"/>
    <w:rsid w:val="00A33BD6"/>
    <w:rsid w:val="00A35C4C"/>
    <w:rsid w:val="00A37E97"/>
    <w:rsid w:val="00A44769"/>
    <w:rsid w:val="00A47C23"/>
    <w:rsid w:val="00A516A4"/>
    <w:rsid w:val="00A51754"/>
    <w:rsid w:val="00A52475"/>
    <w:rsid w:val="00A5289B"/>
    <w:rsid w:val="00A52A00"/>
    <w:rsid w:val="00A54250"/>
    <w:rsid w:val="00A558EC"/>
    <w:rsid w:val="00A56DF7"/>
    <w:rsid w:val="00A57289"/>
    <w:rsid w:val="00A5792F"/>
    <w:rsid w:val="00A6052A"/>
    <w:rsid w:val="00A6064A"/>
    <w:rsid w:val="00A61127"/>
    <w:rsid w:val="00A614AA"/>
    <w:rsid w:val="00A65878"/>
    <w:rsid w:val="00A66C91"/>
    <w:rsid w:val="00A66D3E"/>
    <w:rsid w:val="00A66E04"/>
    <w:rsid w:val="00A70F1D"/>
    <w:rsid w:val="00A737C1"/>
    <w:rsid w:val="00A7575B"/>
    <w:rsid w:val="00A75B31"/>
    <w:rsid w:val="00A75FB3"/>
    <w:rsid w:val="00A76530"/>
    <w:rsid w:val="00A80748"/>
    <w:rsid w:val="00A81122"/>
    <w:rsid w:val="00A8171D"/>
    <w:rsid w:val="00A81E9D"/>
    <w:rsid w:val="00A864F2"/>
    <w:rsid w:val="00A873C3"/>
    <w:rsid w:val="00A87D3E"/>
    <w:rsid w:val="00A916EE"/>
    <w:rsid w:val="00A921A8"/>
    <w:rsid w:val="00A92D98"/>
    <w:rsid w:val="00A93700"/>
    <w:rsid w:val="00A93A27"/>
    <w:rsid w:val="00A95FDA"/>
    <w:rsid w:val="00A95FE2"/>
    <w:rsid w:val="00AA0188"/>
    <w:rsid w:val="00AA07DC"/>
    <w:rsid w:val="00AA142B"/>
    <w:rsid w:val="00AA323A"/>
    <w:rsid w:val="00AA32E6"/>
    <w:rsid w:val="00AA4B10"/>
    <w:rsid w:val="00AA4E7E"/>
    <w:rsid w:val="00AA7464"/>
    <w:rsid w:val="00AB50F9"/>
    <w:rsid w:val="00AB524C"/>
    <w:rsid w:val="00AB54B7"/>
    <w:rsid w:val="00AB7569"/>
    <w:rsid w:val="00AB7D98"/>
    <w:rsid w:val="00AC00A7"/>
    <w:rsid w:val="00AC0E7F"/>
    <w:rsid w:val="00AC45B4"/>
    <w:rsid w:val="00AC478B"/>
    <w:rsid w:val="00AC63B2"/>
    <w:rsid w:val="00AD0F03"/>
    <w:rsid w:val="00AD2490"/>
    <w:rsid w:val="00AD2712"/>
    <w:rsid w:val="00AD4A01"/>
    <w:rsid w:val="00AE064B"/>
    <w:rsid w:val="00AE0E44"/>
    <w:rsid w:val="00AE1426"/>
    <w:rsid w:val="00AE2D14"/>
    <w:rsid w:val="00AE3F9F"/>
    <w:rsid w:val="00AE45C1"/>
    <w:rsid w:val="00AE50E6"/>
    <w:rsid w:val="00AE6ED0"/>
    <w:rsid w:val="00AF3F1A"/>
    <w:rsid w:val="00AF3F85"/>
    <w:rsid w:val="00AF4E53"/>
    <w:rsid w:val="00AF5540"/>
    <w:rsid w:val="00AF5AB1"/>
    <w:rsid w:val="00AF7882"/>
    <w:rsid w:val="00AF7FA1"/>
    <w:rsid w:val="00B0002D"/>
    <w:rsid w:val="00B002FA"/>
    <w:rsid w:val="00B0031A"/>
    <w:rsid w:val="00B037C3"/>
    <w:rsid w:val="00B044F3"/>
    <w:rsid w:val="00B056B2"/>
    <w:rsid w:val="00B103E3"/>
    <w:rsid w:val="00B15E95"/>
    <w:rsid w:val="00B168A6"/>
    <w:rsid w:val="00B20103"/>
    <w:rsid w:val="00B2173D"/>
    <w:rsid w:val="00B22C7F"/>
    <w:rsid w:val="00B22ED5"/>
    <w:rsid w:val="00B25218"/>
    <w:rsid w:val="00B26016"/>
    <w:rsid w:val="00B33BA9"/>
    <w:rsid w:val="00B33DEE"/>
    <w:rsid w:val="00B3739B"/>
    <w:rsid w:val="00B451E1"/>
    <w:rsid w:val="00B461F8"/>
    <w:rsid w:val="00B46939"/>
    <w:rsid w:val="00B51858"/>
    <w:rsid w:val="00B554C1"/>
    <w:rsid w:val="00B56103"/>
    <w:rsid w:val="00B56553"/>
    <w:rsid w:val="00B57356"/>
    <w:rsid w:val="00B603C2"/>
    <w:rsid w:val="00B60D04"/>
    <w:rsid w:val="00B61791"/>
    <w:rsid w:val="00B61D83"/>
    <w:rsid w:val="00B6240D"/>
    <w:rsid w:val="00B633E5"/>
    <w:rsid w:val="00B6623F"/>
    <w:rsid w:val="00B66368"/>
    <w:rsid w:val="00B7032A"/>
    <w:rsid w:val="00B72715"/>
    <w:rsid w:val="00B72A55"/>
    <w:rsid w:val="00B746CB"/>
    <w:rsid w:val="00B74AFF"/>
    <w:rsid w:val="00B74CA1"/>
    <w:rsid w:val="00B74D8C"/>
    <w:rsid w:val="00B75C38"/>
    <w:rsid w:val="00B776CB"/>
    <w:rsid w:val="00B813B2"/>
    <w:rsid w:val="00B84758"/>
    <w:rsid w:val="00B857FD"/>
    <w:rsid w:val="00B85DA1"/>
    <w:rsid w:val="00B864D5"/>
    <w:rsid w:val="00B90FEC"/>
    <w:rsid w:val="00B91AFC"/>
    <w:rsid w:val="00B92850"/>
    <w:rsid w:val="00B93A7C"/>
    <w:rsid w:val="00B94A58"/>
    <w:rsid w:val="00B951D7"/>
    <w:rsid w:val="00BA09BE"/>
    <w:rsid w:val="00BA339E"/>
    <w:rsid w:val="00BA3491"/>
    <w:rsid w:val="00BA3B18"/>
    <w:rsid w:val="00BB024A"/>
    <w:rsid w:val="00BB0860"/>
    <w:rsid w:val="00BB22DC"/>
    <w:rsid w:val="00BB2BCE"/>
    <w:rsid w:val="00BB3566"/>
    <w:rsid w:val="00BB4878"/>
    <w:rsid w:val="00BB759D"/>
    <w:rsid w:val="00BB7A79"/>
    <w:rsid w:val="00BC15FB"/>
    <w:rsid w:val="00BC2DD9"/>
    <w:rsid w:val="00BC6B5A"/>
    <w:rsid w:val="00BD1526"/>
    <w:rsid w:val="00BD1634"/>
    <w:rsid w:val="00BD20DD"/>
    <w:rsid w:val="00BD34E3"/>
    <w:rsid w:val="00BD4111"/>
    <w:rsid w:val="00BD47EF"/>
    <w:rsid w:val="00BE33B5"/>
    <w:rsid w:val="00BE54C2"/>
    <w:rsid w:val="00BE7A79"/>
    <w:rsid w:val="00BF2960"/>
    <w:rsid w:val="00BF2966"/>
    <w:rsid w:val="00BF3279"/>
    <w:rsid w:val="00BF76CC"/>
    <w:rsid w:val="00C04AAD"/>
    <w:rsid w:val="00C06601"/>
    <w:rsid w:val="00C12034"/>
    <w:rsid w:val="00C12F5D"/>
    <w:rsid w:val="00C1516F"/>
    <w:rsid w:val="00C153D2"/>
    <w:rsid w:val="00C219C4"/>
    <w:rsid w:val="00C23C0E"/>
    <w:rsid w:val="00C2763C"/>
    <w:rsid w:val="00C27AA3"/>
    <w:rsid w:val="00C27F87"/>
    <w:rsid w:val="00C300A0"/>
    <w:rsid w:val="00C304A6"/>
    <w:rsid w:val="00C30B53"/>
    <w:rsid w:val="00C35EFB"/>
    <w:rsid w:val="00C433EB"/>
    <w:rsid w:val="00C43CF5"/>
    <w:rsid w:val="00C43E7E"/>
    <w:rsid w:val="00C43F00"/>
    <w:rsid w:val="00C44252"/>
    <w:rsid w:val="00C44284"/>
    <w:rsid w:val="00C442DB"/>
    <w:rsid w:val="00C44BC2"/>
    <w:rsid w:val="00C4502B"/>
    <w:rsid w:val="00C4514A"/>
    <w:rsid w:val="00C45E9C"/>
    <w:rsid w:val="00C46ABE"/>
    <w:rsid w:val="00C46E31"/>
    <w:rsid w:val="00C46F7F"/>
    <w:rsid w:val="00C5341B"/>
    <w:rsid w:val="00C53DD9"/>
    <w:rsid w:val="00C550D4"/>
    <w:rsid w:val="00C55470"/>
    <w:rsid w:val="00C57F89"/>
    <w:rsid w:val="00C60B9E"/>
    <w:rsid w:val="00C67E8D"/>
    <w:rsid w:val="00C70A88"/>
    <w:rsid w:val="00C7126F"/>
    <w:rsid w:val="00C73731"/>
    <w:rsid w:val="00C74D04"/>
    <w:rsid w:val="00C756F0"/>
    <w:rsid w:val="00C75986"/>
    <w:rsid w:val="00C75A72"/>
    <w:rsid w:val="00C77468"/>
    <w:rsid w:val="00C803EE"/>
    <w:rsid w:val="00C81719"/>
    <w:rsid w:val="00C81E61"/>
    <w:rsid w:val="00C8208E"/>
    <w:rsid w:val="00C83364"/>
    <w:rsid w:val="00C83D0D"/>
    <w:rsid w:val="00C86D01"/>
    <w:rsid w:val="00C8788E"/>
    <w:rsid w:val="00C906B2"/>
    <w:rsid w:val="00C90A40"/>
    <w:rsid w:val="00C92B6A"/>
    <w:rsid w:val="00C9590E"/>
    <w:rsid w:val="00CA6863"/>
    <w:rsid w:val="00CB0C23"/>
    <w:rsid w:val="00CB28C7"/>
    <w:rsid w:val="00CC0ADC"/>
    <w:rsid w:val="00CC2675"/>
    <w:rsid w:val="00CC48D2"/>
    <w:rsid w:val="00CC5417"/>
    <w:rsid w:val="00CC59C7"/>
    <w:rsid w:val="00CC716B"/>
    <w:rsid w:val="00CC7807"/>
    <w:rsid w:val="00CD0948"/>
    <w:rsid w:val="00CD1F7A"/>
    <w:rsid w:val="00CD6066"/>
    <w:rsid w:val="00CD72F2"/>
    <w:rsid w:val="00CD7520"/>
    <w:rsid w:val="00CE168B"/>
    <w:rsid w:val="00CE19AD"/>
    <w:rsid w:val="00CE2475"/>
    <w:rsid w:val="00CE2EDC"/>
    <w:rsid w:val="00CE2F72"/>
    <w:rsid w:val="00CE386A"/>
    <w:rsid w:val="00CE5E4F"/>
    <w:rsid w:val="00CE6AC9"/>
    <w:rsid w:val="00CE7B22"/>
    <w:rsid w:val="00CF17FB"/>
    <w:rsid w:val="00CF2AA9"/>
    <w:rsid w:val="00CF420C"/>
    <w:rsid w:val="00CF505C"/>
    <w:rsid w:val="00CF5656"/>
    <w:rsid w:val="00CF5718"/>
    <w:rsid w:val="00CF5BE7"/>
    <w:rsid w:val="00CF5E9A"/>
    <w:rsid w:val="00CF672B"/>
    <w:rsid w:val="00CF7C13"/>
    <w:rsid w:val="00D03A56"/>
    <w:rsid w:val="00D04A8C"/>
    <w:rsid w:val="00D04C4A"/>
    <w:rsid w:val="00D0570B"/>
    <w:rsid w:val="00D10136"/>
    <w:rsid w:val="00D1021F"/>
    <w:rsid w:val="00D112C9"/>
    <w:rsid w:val="00D12021"/>
    <w:rsid w:val="00D13292"/>
    <w:rsid w:val="00D13F60"/>
    <w:rsid w:val="00D210A5"/>
    <w:rsid w:val="00D245EE"/>
    <w:rsid w:val="00D30535"/>
    <w:rsid w:val="00D30EF0"/>
    <w:rsid w:val="00D3311C"/>
    <w:rsid w:val="00D34FAF"/>
    <w:rsid w:val="00D420A4"/>
    <w:rsid w:val="00D433CF"/>
    <w:rsid w:val="00D43B36"/>
    <w:rsid w:val="00D45A45"/>
    <w:rsid w:val="00D462DF"/>
    <w:rsid w:val="00D53932"/>
    <w:rsid w:val="00D54378"/>
    <w:rsid w:val="00D56474"/>
    <w:rsid w:val="00D60B61"/>
    <w:rsid w:val="00D639C1"/>
    <w:rsid w:val="00D642EF"/>
    <w:rsid w:val="00D64CCF"/>
    <w:rsid w:val="00D64DE2"/>
    <w:rsid w:val="00D666FC"/>
    <w:rsid w:val="00D7153F"/>
    <w:rsid w:val="00D71D36"/>
    <w:rsid w:val="00D74DCC"/>
    <w:rsid w:val="00D82C63"/>
    <w:rsid w:val="00D84A6C"/>
    <w:rsid w:val="00D84B54"/>
    <w:rsid w:val="00D85704"/>
    <w:rsid w:val="00D87D21"/>
    <w:rsid w:val="00D92F08"/>
    <w:rsid w:val="00D93CD8"/>
    <w:rsid w:val="00DA0125"/>
    <w:rsid w:val="00DA19C5"/>
    <w:rsid w:val="00DA435D"/>
    <w:rsid w:val="00DA51AB"/>
    <w:rsid w:val="00DA594B"/>
    <w:rsid w:val="00DB3A18"/>
    <w:rsid w:val="00DB6A2B"/>
    <w:rsid w:val="00DB7178"/>
    <w:rsid w:val="00DC6793"/>
    <w:rsid w:val="00DC6CE9"/>
    <w:rsid w:val="00DD0A88"/>
    <w:rsid w:val="00DD0AD9"/>
    <w:rsid w:val="00DD1064"/>
    <w:rsid w:val="00DD72C8"/>
    <w:rsid w:val="00DE02F5"/>
    <w:rsid w:val="00DE0859"/>
    <w:rsid w:val="00DE093B"/>
    <w:rsid w:val="00DE3366"/>
    <w:rsid w:val="00DE3475"/>
    <w:rsid w:val="00DE772D"/>
    <w:rsid w:val="00DF07DA"/>
    <w:rsid w:val="00DF28DD"/>
    <w:rsid w:val="00DF39D9"/>
    <w:rsid w:val="00DF4763"/>
    <w:rsid w:val="00DF7BE1"/>
    <w:rsid w:val="00E03E69"/>
    <w:rsid w:val="00E041F7"/>
    <w:rsid w:val="00E04730"/>
    <w:rsid w:val="00E04F59"/>
    <w:rsid w:val="00E05DE9"/>
    <w:rsid w:val="00E06129"/>
    <w:rsid w:val="00E10E04"/>
    <w:rsid w:val="00E14163"/>
    <w:rsid w:val="00E1525C"/>
    <w:rsid w:val="00E164D8"/>
    <w:rsid w:val="00E21B2E"/>
    <w:rsid w:val="00E22E8B"/>
    <w:rsid w:val="00E25E93"/>
    <w:rsid w:val="00E26EAD"/>
    <w:rsid w:val="00E27B8E"/>
    <w:rsid w:val="00E36525"/>
    <w:rsid w:val="00E4266E"/>
    <w:rsid w:val="00E43D9D"/>
    <w:rsid w:val="00E5040A"/>
    <w:rsid w:val="00E50E20"/>
    <w:rsid w:val="00E540EE"/>
    <w:rsid w:val="00E555A1"/>
    <w:rsid w:val="00E55FF6"/>
    <w:rsid w:val="00E563EE"/>
    <w:rsid w:val="00E602B7"/>
    <w:rsid w:val="00E60414"/>
    <w:rsid w:val="00E63388"/>
    <w:rsid w:val="00E635E8"/>
    <w:rsid w:val="00E63C72"/>
    <w:rsid w:val="00E66096"/>
    <w:rsid w:val="00E67570"/>
    <w:rsid w:val="00E70B91"/>
    <w:rsid w:val="00E70BBA"/>
    <w:rsid w:val="00E70E24"/>
    <w:rsid w:val="00E7106C"/>
    <w:rsid w:val="00E728A5"/>
    <w:rsid w:val="00E728E2"/>
    <w:rsid w:val="00E732F5"/>
    <w:rsid w:val="00E733DB"/>
    <w:rsid w:val="00E75EF9"/>
    <w:rsid w:val="00E7611C"/>
    <w:rsid w:val="00E76D08"/>
    <w:rsid w:val="00E76EBC"/>
    <w:rsid w:val="00E77B9E"/>
    <w:rsid w:val="00E77E35"/>
    <w:rsid w:val="00E77F23"/>
    <w:rsid w:val="00E84E6D"/>
    <w:rsid w:val="00E852AF"/>
    <w:rsid w:val="00E8647E"/>
    <w:rsid w:val="00E864AD"/>
    <w:rsid w:val="00E86932"/>
    <w:rsid w:val="00E87A99"/>
    <w:rsid w:val="00E87B09"/>
    <w:rsid w:val="00E9072B"/>
    <w:rsid w:val="00E908FD"/>
    <w:rsid w:val="00E91073"/>
    <w:rsid w:val="00E91B47"/>
    <w:rsid w:val="00E96222"/>
    <w:rsid w:val="00EA06A0"/>
    <w:rsid w:val="00EA0EB4"/>
    <w:rsid w:val="00EA17FF"/>
    <w:rsid w:val="00EA7CE3"/>
    <w:rsid w:val="00EB0BFC"/>
    <w:rsid w:val="00EB1437"/>
    <w:rsid w:val="00EB1C9F"/>
    <w:rsid w:val="00EB5F28"/>
    <w:rsid w:val="00EB6014"/>
    <w:rsid w:val="00EB68C9"/>
    <w:rsid w:val="00EB78EE"/>
    <w:rsid w:val="00EC0130"/>
    <w:rsid w:val="00EC22B5"/>
    <w:rsid w:val="00EC28C9"/>
    <w:rsid w:val="00EC3EFB"/>
    <w:rsid w:val="00EC51DC"/>
    <w:rsid w:val="00ED186A"/>
    <w:rsid w:val="00ED2BDA"/>
    <w:rsid w:val="00ED3D1F"/>
    <w:rsid w:val="00ED4E47"/>
    <w:rsid w:val="00ED63CE"/>
    <w:rsid w:val="00ED7650"/>
    <w:rsid w:val="00ED788C"/>
    <w:rsid w:val="00EE0997"/>
    <w:rsid w:val="00EE31C4"/>
    <w:rsid w:val="00EE5543"/>
    <w:rsid w:val="00EE632D"/>
    <w:rsid w:val="00EE7AF7"/>
    <w:rsid w:val="00EF33D1"/>
    <w:rsid w:val="00EF387A"/>
    <w:rsid w:val="00EF7D1B"/>
    <w:rsid w:val="00F006F0"/>
    <w:rsid w:val="00F008B6"/>
    <w:rsid w:val="00F02FE3"/>
    <w:rsid w:val="00F06822"/>
    <w:rsid w:val="00F07B94"/>
    <w:rsid w:val="00F1142D"/>
    <w:rsid w:val="00F14531"/>
    <w:rsid w:val="00F15261"/>
    <w:rsid w:val="00F160D2"/>
    <w:rsid w:val="00F17D3B"/>
    <w:rsid w:val="00F23167"/>
    <w:rsid w:val="00F23A80"/>
    <w:rsid w:val="00F316C3"/>
    <w:rsid w:val="00F35B99"/>
    <w:rsid w:val="00F37220"/>
    <w:rsid w:val="00F40341"/>
    <w:rsid w:val="00F40A9A"/>
    <w:rsid w:val="00F4360F"/>
    <w:rsid w:val="00F454E8"/>
    <w:rsid w:val="00F505E4"/>
    <w:rsid w:val="00F51C41"/>
    <w:rsid w:val="00F520D3"/>
    <w:rsid w:val="00F54B20"/>
    <w:rsid w:val="00F551B5"/>
    <w:rsid w:val="00F55AA1"/>
    <w:rsid w:val="00F5673C"/>
    <w:rsid w:val="00F56B55"/>
    <w:rsid w:val="00F6128A"/>
    <w:rsid w:val="00F61D6F"/>
    <w:rsid w:val="00F62EA8"/>
    <w:rsid w:val="00F63F62"/>
    <w:rsid w:val="00F6521B"/>
    <w:rsid w:val="00F67794"/>
    <w:rsid w:val="00F67865"/>
    <w:rsid w:val="00F70FBA"/>
    <w:rsid w:val="00F71878"/>
    <w:rsid w:val="00F733E9"/>
    <w:rsid w:val="00F73C5A"/>
    <w:rsid w:val="00F744A1"/>
    <w:rsid w:val="00F7549A"/>
    <w:rsid w:val="00F7648E"/>
    <w:rsid w:val="00F77991"/>
    <w:rsid w:val="00F831F6"/>
    <w:rsid w:val="00F84365"/>
    <w:rsid w:val="00F9119A"/>
    <w:rsid w:val="00F93B81"/>
    <w:rsid w:val="00F948A7"/>
    <w:rsid w:val="00F94A5A"/>
    <w:rsid w:val="00F97ADD"/>
    <w:rsid w:val="00FA317C"/>
    <w:rsid w:val="00FA379F"/>
    <w:rsid w:val="00FA5BE5"/>
    <w:rsid w:val="00FA5CCF"/>
    <w:rsid w:val="00FA7A8A"/>
    <w:rsid w:val="00FB0647"/>
    <w:rsid w:val="00FB41EE"/>
    <w:rsid w:val="00FB439F"/>
    <w:rsid w:val="00FB43AA"/>
    <w:rsid w:val="00FB56C7"/>
    <w:rsid w:val="00FB7AC5"/>
    <w:rsid w:val="00FC0AAC"/>
    <w:rsid w:val="00FC0D70"/>
    <w:rsid w:val="00FC16A6"/>
    <w:rsid w:val="00FC1B35"/>
    <w:rsid w:val="00FC2A24"/>
    <w:rsid w:val="00FC3899"/>
    <w:rsid w:val="00FC3F9B"/>
    <w:rsid w:val="00FC51E0"/>
    <w:rsid w:val="00FC549A"/>
    <w:rsid w:val="00FC5E73"/>
    <w:rsid w:val="00FC60ED"/>
    <w:rsid w:val="00FD1508"/>
    <w:rsid w:val="00FD26A0"/>
    <w:rsid w:val="00FD2AF2"/>
    <w:rsid w:val="00FD5535"/>
    <w:rsid w:val="00FD604C"/>
    <w:rsid w:val="00FD65D5"/>
    <w:rsid w:val="00FD690B"/>
    <w:rsid w:val="00FE03DA"/>
    <w:rsid w:val="00FE4A4C"/>
    <w:rsid w:val="00FE5642"/>
    <w:rsid w:val="00FE6E0E"/>
    <w:rsid w:val="00FF088F"/>
    <w:rsid w:val="00FF1260"/>
    <w:rsid w:val="00FF3FEB"/>
    <w:rsid w:val="00FF486C"/>
    <w:rsid w:val="00FF4B39"/>
    <w:rsid w:val="00FF5EB3"/>
    <w:rsid w:val="00FF5F84"/>
    <w:rsid w:val="014100DA"/>
    <w:rsid w:val="017A2DF6"/>
    <w:rsid w:val="019A0772"/>
    <w:rsid w:val="019F6D19"/>
    <w:rsid w:val="02012C64"/>
    <w:rsid w:val="02155CC8"/>
    <w:rsid w:val="0231511A"/>
    <w:rsid w:val="02654D3E"/>
    <w:rsid w:val="027073D3"/>
    <w:rsid w:val="027A49A4"/>
    <w:rsid w:val="02887413"/>
    <w:rsid w:val="02C61BE9"/>
    <w:rsid w:val="031F7F62"/>
    <w:rsid w:val="03233FEF"/>
    <w:rsid w:val="032B2692"/>
    <w:rsid w:val="033F0F73"/>
    <w:rsid w:val="03932150"/>
    <w:rsid w:val="03C41EBC"/>
    <w:rsid w:val="03CE1443"/>
    <w:rsid w:val="03DF40CB"/>
    <w:rsid w:val="041C2DFE"/>
    <w:rsid w:val="04293179"/>
    <w:rsid w:val="04A455CC"/>
    <w:rsid w:val="04B12D67"/>
    <w:rsid w:val="04BD4FE9"/>
    <w:rsid w:val="050414F1"/>
    <w:rsid w:val="050B1F2B"/>
    <w:rsid w:val="057070ED"/>
    <w:rsid w:val="0576723F"/>
    <w:rsid w:val="05CC58ED"/>
    <w:rsid w:val="060259E5"/>
    <w:rsid w:val="063C5A1A"/>
    <w:rsid w:val="067A7210"/>
    <w:rsid w:val="06926323"/>
    <w:rsid w:val="06964BD5"/>
    <w:rsid w:val="06D4096D"/>
    <w:rsid w:val="07244CE2"/>
    <w:rsid w:val="073D2BE1"/>
    <w:rsid w:val="074900A9"/>
    <w:rsid w:val="076E1E11"/>
    <w:rsid w:val="0772291B"/>
    <w:rsid w:val="07BA315D"/>
    <w:rsid w:val="07C55987"/>
    <w:rsid w:val="080222D6"/>
    <w:rsid w:val="08116599"/>
    <w:rsid w:val="0814276A"/>
    <w:rsid w:val="08387E2F"/>
    <w:rsid w:val="083B2F7E"/>
    <w:rsid w:val="086311BC"/>
    <w:rsid w:val="090F4A6C"/>
    <w:rsid w:val="09415BCC"/>
    <w:rsid w:val="09435E50"/>
    <w:rsid w:val="095B3F74"/>
    <w:rsid w:val="097258FA"/>
    <w:rsid w:val="09743D7F"/>
    <w:rsid w:val="09946700"/>
    <w:rsid w:val="09AD5A7C"/>
    <w:rsid w:val="09EC23FF"/>
    <w:rsid w:val="0A044101"/>
    <w:rsid w:val="0A360753"/>
    <w:rsid w:val="0A62640E"/>
    <w:rsid w:val="0A6F181E"/>
    <w:rsid w:val="0A7F683B"/>
    <w:rsid w:val="0A8B2E1B"/>
    <w:rsid w:val="0ABB3F15"/>
    <w:rsid w:val="0AF5753C"/>
    <w:rsid w:val="0AFE03EA"/>
    <w:rsid w:val="0B0310F6"/>
    <w:rsid w:val="0B372A66"/>
    <w:rsid w:val="0B8115C2"/>
    <w:rsid w:val="0B8C392D"/>
    <w:rsid w:val="0BF6637A"/>
    <w:rsid w:val="0C6C2349"/>
    <w:rsid w:val="0C7A3371"/>
    <w:rsid w:val="0CAA549B"/>
    <w:rsid w:val="0CB02601"/>
    <w:rsid w:val="0CCA2980"/>
    <w:rsid w:val="0CF2172A"/>
    <w:rsid w:val="0D0C271C"/>
    <w:rsid w:val="0D1224FB"/>
    <w:rsid w:val="0D1565D9"/>
    <w:rsid w:val="0D335C97"/>
    <w:rsid w:val="0D361681"/>
    <w:rsid w:val="0D475B4A"/>
    <w:rsid w:val="0D6478F8"/>
    <w:rsid w:val="0DEE56B0"/>
    <w:rsid w:val="0E046E58"/>
    <w:rsid w:val="0E084221"/>
    <w:rsid w:val="0E0B181B"/>
    <w:rsid w:val="0E3F1ACC"/>
    <w:rsid w:val="0E4A3800"/>
    <w:rsid w:val="0E6A278D"/>
    <w:rsid w:val="0E89775A"/>
    <w:rsid w:val="0E927849"/>
    <w:rsid w:val="0EC0292C"/>
    <w:rsid w:val="0EC25122"/>
    <w:rsid w:val="0EF267AF"/>
    <w:rsid w:val="0F052F6C"/>
    <w:rsid w:val="0F4A504B"/>
    <w:rsid w:val="0F4A6891"/>
    <w:rsid w:val="0F613460"/>
    <w:rsid w:val="0F912D4B"/>
    <w:rsid w:val="0F963146"/>
    <w:rsid w:val="0FCF697B"/>
    <w:rsid w:val="0FDD414B"/>
    <w:rsid w:val="1046331C"/>
    <w:rsid w:val="109B53FF"/>
    <w:rsid w:val="109C3A71"/>
    <w:rsid w:val="10AE7C8F"/>
    <w:rsid w:val="10CC014A"/>
    <w:rsid w:val="10CC48C6"/>
    <w:rsid w:val="11051C26"/>
    <w:rsid w:val="115D02E5"/>
    <w:rsid w:val="117730EB"/>
    <w:rsid w:val="11A76CD1"/>
    <w:rsid w:val="11F81C72"/>
    <w:rsid w:val="12297E8B"/>
    <w:rsid w:val="125701C7"/>
    <w:rsid w:val="130B2D01"/>
    <w:rsid w:val="13525487"/>
    <w:rsid w:val="13C92348"/>
    <w:rsid w:val="13F07810"/>
    <w:rsid w:val="13F20106"/>
    <w:rsid w:val="141548BD"/>
    <w:rsid w:val="141B0D79"/>
    <w:rsid w:val="142864FC"/>
    <w:rsid w:val="143243E7"/>
    <w:rsid w:val="143C6075"/>
    <w:rsid w:val="14571442"/>
    <w:rsid w:val="14654A29"/>
    <w:rsid w:val="147C013D"/>
    <w:rsid w:val="14B71CE6"/>
    <w:rsid w:val="14B81F8C"/>
    <w:rsid w:val="14E03E6F"/>
    <w:rsid w:val="14E23FA3"/>
    <w:rsid w:val="1503565B"/>
    <w:rsid w:val="154C0B76"/>
    <w:rsid w:val="156D52D0"/>
    <w:rsid w:val="15B53995"/>
    <w:rsid w:val="15F379B6"/>
    <w:rsid w:val="160B4588"/>
    <w:rsid w:val="161003F8"/>
    <w:rsid w:val="165E1AF9"/>
    <w:rsid w:val="1679397B"/>
    <w:rsid w:val="168135D8"/>
    <w:rsid w:val="16C40E0C"/>
    <w:rsid w:val="17034910"/>
    <w:rsid w:val="170E0E19"/>
    <w:rsid w:val="17211998"/>
    <w:rsid w:val="177F5112"/>
    <w:rsid w:val="1787132F"/>
    <w:rsid w:val="17984446"/>
    <w:rsid w:val="17984E07"/>
    <w:rsid w:val="17A42813"/>
    <w:rsid w:val="17F06B2A"/>
    <w:rsid w:val="17F90E59"/>
    <w:rsid w:val="18583FC2"/>
    <w:rsid w:val="186E3CA0"/>
    <w:rsid w:val="18832D98"/>
    <w:rsid w:val="188E3A88"/>
    <w:rsid w:val="18B162C4"/>
    <w:rsid w:val="18C56A35"/>
    <w:rsid w:val="18F155B7"/>
    <w:rsid w:val="18F532E5"/>
    <w:rsid w:val="18F541A8"/>
    <w:rsid w:val="18FC49E8"/>
    <w:rsid w:val="190D3379"/>
    <w:rsid w:val="191F598E"/>
    <w:rsid w:val="19A30C86"/>
    <w:rsid w:val="19C75494"/>
    <w:rsid w:val="19ED659F"/>
    <w:rsid w:val="19F30CB9"/>
    <w:rsid w:val="1A4D46A5"/>
    <w:rsid w:val="1A7C079A"/>
    <w:rsid w:val="1A86293E"/>
    <w:rsid w:val="1AD8774D"/>
    <w:rsid w:val="1AFE2A1C"/>
    <w:rsid w:val="1B2B46FD"/>
    <w:rsid w:val="1B411494"/>
    <w:rsid w:val="1B4514BD"/>
    <w:rsid w:val="1B4E5A9C"/>
    <w:rsid w:val="1B697489"/>
    <w:rsid w:val="1B866287"/>
    <w:rsid w:val="1B91454A"/>
    <w:rsid w:val="1BA46BFA"/>
    <w:rsid w:val="1BB456CA"/>
    <w:rsid w:val="1BBE4BBF"/>
    <w:rsid w:val="1C100015"/>
    <w:rsid w:val="1C3C7173"/>
    <w:rsid w:val="1C7703AB"/>
    <w:rsid w:val="1CC2653A"/>
    <w:rsid w:val="1D0E344A"/>
    <w:rsid w:val="1D3B522D"/>
    <w:rsid w:val="1D5429EC"/>
    <w:rsid w:val="1DCD4D52"/>
    <w:rsid w:val="1E732677"/>
    <w:rsid w:val="1ECB794B"/>
    <w:rsid w:val="1EED61CB"/>
    <w:rsid w:val="1EF6401E"/>
    <w:rsid w:val="1F070539"/>
    <w:rsid w:val="1F093D75"/>
    <w:rsid w:val="1F0D6EFE"/>
    <w:rsid w:val="1F0F1E0A"/>
    <w:rsid w:val="1F173D5E"/>
    <w:rsid w:val="1F3D41AB"/>
    <w:rsid w:val="1F3E0D19"/>
    <w:rsid w:val="1F3E1766"/>
    <w:rsid w:val="1F5547FB"/>
    <w:rsid w:val="1F5E5FF8"/>
    <w:rsid w:val="1F970ED3"/>
    <w:rsid w:val="1FB60599"/>
    <w:rsid w:val="1FBB696E"/>
    <w:rsid w:val="1FD64D23"/>
    <w:rsid w:val="1FE02184"/>
    <w:rsid w:val="1FF04934"/>
    <w:rsid w:val="1FFC5589"/>
    <w:rsid w:val="20343B3D"/>
    <w:rsid w:val="203B6A0B"/>
    <w:rsid w:val="20554D5E"/>
    <w:rsid w:val="205A3CFC"/>
    <w:rsid w:val="206025A7"/>
    <w:rsid w:val="20646919"/>
    <w:rsid w:val="206F72EA"/>
    <w:rsid w:val="20C46F55"/>
    <w:rsid w:val="20ED0D46"/>
    <w:rsid w:val="20FC391D"/>
    <w:rsid w:val="210319CF"/>
    <w:rsid w:val="21147C23"/>
    <w:rsid w:val="212C6CD9"/>
    <w:rsid w:val="21542457"/>
    <w:rsid w:val="21D50B04"/>
    <w:rsid w:val="21DF238F"/>
    <w:rsid w:val="22304438"/>
    <w:rsid w:val="22334010"/>
    <w:rsid w:val="22352DAF"/>
    <w:rsid w:val="227B7612"/>
    <w:rsid w:val="2283390C"/>
    <w:rsid w:val="228729D4"/>
    <w:rsid w:val="22914F92"/>
    <w:rsid w:val="229B303C"/>
    <w:rsid w:val="22A6454F"/>
    <w:rsid w:val="22EC3C32"/>
    <w:rsid w:val="22EF3715"/>
    <w:rsid w:val="231C07EE"/>
    <w:rsid w:val="233A2855"/>
    <w:rsid w:val="233C6296"/>
    <w:rsid w:val="237B2077"/>
    <w:rsid w:val="23840F29"/>
    <w:rsid w:val="239749A3"/>
    <w:rsid w:val="239810CE"/>
    <w:rsid w:val="239A1546"/>
    <w:rsid w:val="239E0BB9"/>
    <w:rsid w:val="23A44C61"/>
    <w:rsid w:val="23A742AE"/>
    <w:rsid w:val="23B928E1"/>
    <w:rsid w:val="2407700A"/>
    <w:rsid w:val="242C7476"/>
    <w:rsid w:val="24341FDE"/>
    <w:rsid w:val="246E6F1C"/>
    <w:rsid w:val="24B8103C"/>
    <w:rsid w:val="24BA36FA"/>
    <w:rsid w:val="24C63604"/>
    <w:rsid w:val="24D05015"/>
    <w:rsid w:val="25682B45"/>
    <w:rsid w:val="25A17CC6"/>
    <w:rsid w:val="25EC7470"/>
    <w:rsid w:val="2617647B"/>
    <w:rsid w:val="264173B8"/>
    <w:rsid w:val="26421D34"/>
    <w:rsid w:val="26517134"/>
    <w:rsid w:val="26776AE8"/>
    <w:rsid w:val="26993146"/>
    <w:rsid w:val="26B00092"/>
    <w:rsid w:val="26CA678F"/>
    <w:rsid w:val="26DB0D9B"/>
    <w:rsid w:val="26F069DA"/>
    <w:rsid w:val="2723368B"/>
    <w:rsid w:val="273535C0"/>
    <w:rsid w:val="27BC78BA"/>
    <w:rsid w:val="27BE1040"/>
    <w:rsid w:val="27CA347B"/>
    <w:rsid w:val="27D80F5B"/>
    <w:rsid w:val="27DA6B63"/>
    <w:rsid w:val="280237BD"/>
    <w:rsid w:val="28085EFD"/>
    <w:rsid w:val="28202675"/>
    <w:rsid w:val="282D240E"/>
    <w:rsid w:val="28335AB9"/>
    <w:rsid w:val="286036CB"/>
    <w:rsid w:val="28D12FA6"/>
    <w:rsid w:val="28E51731"/>
    <w:rsid w:val="28EB7DAF"/>
    <w:rsid w:val="2903722A"/>
    <w:rsid w:val="29526899"/>
    <w:rsid w:val="295A4AA7"/>
    <w:rsid w:val="296B03C0"/>
    <w:rsid w:val="298A6D50"/>
    <w:rsid w:val="29966554"/>
    <w:rsid w:val="2998265B"/>
    <w:rsid w:val="29AC6E61"/>
    <w:rsid w:val="29B04149"/>
    <w:rsid w:val="29E26FA3"/>
    <w:rsid w:val="29E82A72"/>
    <w:rsid w:val="29FF03ED"/>
    <w:rsid w:val="2A197A7A"/>
    <w:rsid w:val="2A3632EA"/>
    <w:rsid w:val="2A494F33"/>
    <w:rsid w:val="2A556736"/>
    <w:rsid w:val="2A5C3E82"/>
    <w:rsid w:val="2A6774A0"/>
    <w:rsid w:val="2A7D071D"/>
    <w:rsid w:val="2AEA2303"/>
    <w:rsid w:val="2AF76673"/>
    <w:rsid w:val="2B023957"/>
    <w:rsid w:val="2B023F33"/>
    <w:rsid w:val="2B13660B"/>
    <w:rsid w:val="2B141804"/>
    <w:rsid w:val="2B1E5180"/>
    <w:rsid w:val="2B2E39F2"/>
    <w:rsid w:val="2B313E67"/>
    <w:rsid w:val="2B747B92"/>
    <w:rsid w:val="2B843FC7"/>
    <w:rsid w:val="2B88397C"/>
    <w:rsid w:val="2B95073F"/>
    <w:rsid w:val="2BC378D4"/>
    <w:rsid w:val="2BD9007C"/>
    <w:rsid w:val="2BE62446"/>
    <w:rsid w:val="2BED4310"/>
    <w:rsid w:val="2C0B0B34"/>
    <w:rsid w:val="2C0C4C44"/>
    <w:rsid w:val="2C392AF7"/>
    <w:rsid w:val="2C3957D5"/>
    <w:rsid w:val="2C3A601C"/>
    <w:rsid w:val="2C4800D5"/>
    <w:rsid w:val="2C4D37D6"/>
    <w:rsid w:val="2CAB4195"/>
    <w:rsid w:val="2CBD6F50"/>
    <w:rsid w:val="2D086D2D"/>
    <w:rsid w:val="2D2A1DD2"/>
    <w:rsid w:val="2D430B7C"/>
    <w:rsid w:val="2D453709"/>
    <w:rsid w:val="2D47113E"/>
    <w:rsid w:val="2D513BFB"/>
    <w:rsid w:val="2D5944A8"/>
    <w:rsid w:val="2D7E0264"/>
    <w:rsid w:val="2D905712"/>
    <w:rsid w:val="2DA91038"/>
    <w:rsid w:val="2DDD5669"/>
    <w:rsid w:val="2E5905E0"/>
    <w:rsid w:val="2E66510B"/>
    <w:rsid w:val="2E7352C8"/>
    <w:rsid w:val="2E793D1B"/>
    <w:rsid w:val="2E7C5A4F"/>
    <w:rsid w:val="2E995694"/>
    <w:rsid w:val="2EDC3667"/>
    <w:rsid w:val="2EF064BE"/>
    <w:rsid w:val="2F313E72"/>
    <w:rsid w:val="2F3769F6"/>
    <w:rsid w:val="2F7E75D1"/>
    <w:rsid w:val="2F7F5C55"/>
    <w:rsid w:val="2FE10EE1"/>
    <w:rsid w:val="3032464D"/>
    <w:rsid w:val="3035097E"/>
    <w:rsid w:val="30501DD6"/>
    <w:rsid w:val="30783167"/>
    <w:rsid w:val="30A15299"/>
    <w:rsid w:val="30B448D9"/>
    <w:rsid w:val="30D169B8"/>
    <w:rsid w:val="30E30A3C"/>
    <w:rsid w:val="3147486D"/>
    <w:rsid w:val="31BD4D9E"/>
    <w:rsid w:val="31EA5DB4"/>
    <w:rsid w:val="31F72F61"/>
    <w:rsid w:val="322A6B50"/>
    <w:rsid w:val="326B10D9"/>
    <w:rsid w:val="326C06C8"/>
    <w:rsid w:val="3270328A"/>
    <w:rsid w:val="3273775B"/>
    <w:rsid w:val="32753F69"/>
    <w:rsid w:val="327934B5"/>
    <w:rsid w:val="32FB750E"/>
    <w:rsid w:val="3310473A"/>
    <w:rsid w:val="33465948"/>
    <w:rsid w:val="33594654"/>
    <w:rsid w:val="337D700C"/>
    <w:rsid w:val="33D26F41"/>
    <w:rsid w:val="33DE4DC9"/>
    <w:rsid w:val="34225A8B"/>
    <w:rsid w:val="34545EB6"/>
    <w:rsid w:val="347E7DAE"/>
    <w:rsid w:val="34EC2547"/>
    <w:rsid w:val="3501791E"/>
    <w:rsid w:val="350A3F32"/>
    <w:rsid w:val="350C155E"/>
    <w:rsid w:val="359304C3"/>
    <w:rsid w:val="35E73237"/>
    <w:rsid w:val="36330493"/>
    <w:rsid w:val="364B639A"/>
    <w:rsid w:val="366A2DFA"/>
    <w:rsid w:val="36A17ACF"/>
    <w:rsid w:val="36A55A29"/>
    <w:rsid w:val="36B45349"/>
    <w:rsid w:val="36C00BDC"/>
    <w:rsid w:val="36CC140A"/>
    <w:rsid w:val="36E0631A"/>
    <w:rsid w:val="3731632D"/>
    <w:rsid w:val="373456B9"/>
    <w:rsid w:val="373B7360"/>
    <w:rsid w:val="374B1570"/>
    <w:rsid w:val="37B82D9A"/>
    <w:rsid w:val="37D60DFF"/>
    <w:rsid w:val="37DE483D"/>
    <w:rsid w:val="380B6117"/>
    <w:rsid w:val="383F71B9"/>
    <w:rsid w:val="3872484A"/>
    <w:rsid w:val="38B81C81"/>
    <w:rsid w:val="38D17F1E"/>
    <w:rsid w:val="38F54996"/>
    <w:rsid w:val="38FF6856"/>
    <w:rsid w:val="398A093C"/>
    <w:rsid w:val="399D60E8"/>
    <w:rsid w:val="39A8590F"/>
    <w:rsid w:val="39B63B73"/>
    <w:rsid w:val="39CC50DB"/>
    <w:rsid w:val="39D0047D"/>
    <w:rsid w:val="39E17626"/>
    <w:rsid w:val="39EC44E1"/>
    <w:rsid w:val="39FB1D91"/>
    <w:rsid w:val="3A0F6AB5"/>
    <w:rsid w:val="3A2A3FDB"/>
    <w:rsid w:val="3A3017CC"/>
    <w:rsid w:val="3A396937"/>
    <w:rsid w:val="3A4B6CBF"/>
    <w:rsid w:val="3A5E0A10"/>
    <w:rsid w:val="3A8D1EA3"/>
    <w:rsid w:val="3A910AC1"/>
    <w:rsid w:val="3A982E5E"/>
    <w:rsid w:val="3A9903EE"/>
    <w:rsid w:val="3AA0727D"/>
    <w:rsid w:val="3AB53859"/>
    <w:rsid w:val="3AF72DAE"/>
    <w:rsid w:val="3B16594A"/>
    <w:rsid w:val="3B356674"/>
    <w:rsid w:val="3B4B1955"/>
    <w:rsid w:val="3B51775D"/>
    <w:rsid w:val="3B927514"/>
    <w:rsid w:val="3B9C27B6"/>
    <w:rsid w:val="3BA4342C"/>
    <w:rsid w:val="3BBD7F42"/>
    <w:rsid w:val="3C6B3FB2"/>
    <w:rsid w:val="3C7A7AFD"/>
    <w:rsid w:val="3C9C38A4"/>
    <w:rsid w:val="3CB2437C"/>
    <w:rsid w:val="3CD0502C"/>
    <w:rsid w:val="3CDB2893"/>
    <w:rsid w:val="3CDE0CFD"/>
    <w:rsid w:val="3D0904C6"/>
    <w:rsid w:val="3D0E1956"/>
    <w:rsid w:val="3D9D58F8"/>
    <w:rsid w:val="3DA172E7"/>
    <w:rsid w:val="3E227F77"/>
    <w:rsid w:val="3E2A6985"/>
    <w:rsid w:val="3E35559B"/>
    <w:rsid w:val="3E7433F9"/>
    <w:rsid w:val="3E752253"/>
    <w:rsid w:val="3E8B569B"/>
    <w:rsid w:val="3ECB7DA8"/>
    <w:rsid w:val="3EEC09D6"/>
    <w:rsid w:val="3EF2359C"/>
    <w:rsid w:val="3F0D4E6D"/>
    <w:rsid w:val="3F58484D"/>
    <w:rsid w:val="3F745290"/>
    <w:rsid w:val="3F8E0597"/>
    <w:rsid w:val="3F9168DA"/>
    <w:rsid w:val="3FC7326B"/>
    <w:rsid w:val="3FCA0F2D"/>
    <w:rsid w:val="3FD44BBA"/>
    <w:rsid w:val="3FEB209E"/>
    <w:rsid w:val="40266B34"/>
    <w:rsid w:val="402B6207"/>
    <w:rsid w:val="40736EF7"/>
    <w:rsid w:val="407D7E39"/>
    <w:rsid w:val="40BE0B05"/>
    <w:rsid w:val="41145841"/>
    <w:rsid w:val="416310D0"/>
    <w:rsid w:val="41824A13"/>
    <w:rsid w:val="41A55FDF"/>
    <w:rsid w:val="41D339DA"/>
    <w:rsid w:val="42082B3F"/>
    <w:rsid w:val="42104BEC"/>
    <w:rsid w:val="42180346"/>
    <w:rsid w:val="421F20F0"/>
    <w:rsid w:val="42241E55"/>
    <w:rsid w:val="428B2FDA"/>
    <w:rsid w:val="42B30A8D"/>
    <w:rsid w:val="42B6054B"/>
    <w:rsid w:val="42B84915"/>
    <w:rsid w:val="42CB72C7"/>
    <w:rsid w:val="42CF4B7D"/>
    <w:rsid w:val="42EF665D"/>
    <w:rsid w:val="42FE6736"/>
    <w:rsid w:val="431E0302"/>
    <w:rsid w:val="438155EB"/>
    <w:rsid w:val="43894571"/>
    <w:rsid w:val="438C3798"/>
    <w:rsid w:val="43A526AF"/>
    <w:rsid w:val="43CF0C49"/>
    <w:rsid w:val="43F1132E"/>
    <w:rsid w:val="43F95D1B"/>
    <w:rsid w:val="445642CB"/>
    <w:rsid w:val="449E754C"/>
    <w:rsid w:val="44C1635C"/>
    <w:rsid w:val="44D6178B"/>
    <w:rsid w:val="44ED3E90"/>
    <w:rsid w:val="45433D3E"/>
    <w:rsid w:val="457E052E"/>
    <w:rsid w:val="45C11129"/>
    <w:rsid w:val="45C16154"/>
    <w:rsid w:val="45D333F3"/>
    <w:rsid w:val="45EE226A"/>
    <w:rsid w:val="45F013FE"/>
    <w:rsid w:val="46016457"/>
    <w:rsid w:val="46042570"/>
    <w:rsid w:val="460F66E8"/>
    <w:rsid w:val="4670270E"/>
    <w:rsid w:val="46C47C7A"/>
    <w:rsid w:val="46CE6F6E"/>
    <w:rsid w:val="46D0444B"/>
    <w:rsid w:val="46F174E5"/>
    <w:rsid w:val="46F94A26"/>
    <w:rsid w:val="472359F9"/>
    <w:rsid w:val="472C5341"/>
    <w:rsid w:val="47700A76"/>
    <w:rsid w:val="47C2242A"/>
    <w:rsid w:val="47C62C5E"/>
    <w:rsid w:val="47E2786A"/>
    <w:rsid w:val="47E6291B"/>
    <w:rsid w:val="48143CA5"/>
    <w:rsid w:val="482D7D2F"/>
    <w:rsid w:val="48316E4A"/>
    <w:rsid w:val="485E40A4"/>
    <w:rsid w:val="488863C6"/>
    <w:rsid w:val="489C1688"/>
    <w:rsid w:val="48C75E67"/>
    <w:rsid w:val="4910562E"/>
    <w:rsid w:val="495534FC"/>
    <w:rsid w:val="49711854"/>
    <w:rsid w:val="499565EB"/>
    <w:rsid w:val="49C24FFB"/>
    <w:rsid w:val="49C60421"/>
    <w:rsid w:val="49E85284"/>
    <w:rsid w:val="4A632962"/>
    <w:rsid w:val="4A75517D"/>
    <w:rsid w:val="4A993FEF"/>
    <w:rsid w:val="4A9F5775"/>
    <w:rsid w:val="4AA019AF"/>
    <w:rsid w:val="4B234337"/>
    <w:rsid w:val="4B402D4F"/>
    <w:rsid w:val="4B93440D"/>
    <w:rsid w:val="4BE84A7A"/>
    <w:rsid w:val="4BF422FC"/>
    <w:rsid w:val="4C0035F1"/>
    <w:rsid w:val="4C677180"/>
    <w:rsid w:val="4C6A1A0A"/>
    <w:rsid w:val="4CA95F19"/>
    <w:rsid w:val="4CC172CB"/>
    <w:rsid w:val="4CDC3678"/>
    <w:rsid w:val="4CF015C2"/>
    <w:rsid w:val="4D0F0060"/>
    <w:rsid w:val="4D4225BA"/>
    <w:rsid w:val="4D4E33F0"/>
    <w:rsid w:val="4D5F5806"/>
    <w:rsid w:val="4DE024E9"/>
    <w:rsid w:val="4E007AFC"/>
    <w:rsid w:val="4E2419D6"/>
    <w:rsid w:val="4E361272"/>
    <w:rsid w:val="4E3B13B2"/>
    <w:rsid w:val="4E5636E1"/>
    <w:rsid w:val="4ED87E2C"/>
    <w:rsid w:val="4F037993"/>
    <w:rsid w:val="4F046CCC"/>
    <w:rsid w:val="4F1F40D6"/>
    <w:rsid w:val="4F8E4D32"/>
    <w:rsid w:val="4FB371C4"/>
    <w:rsid w:val="4FB37368"/>
    <w:rsid w:val="4FC275AB"/>
    <w:rsid w:val="4FDC73FB"/>
    <w:rsid w:val="50165969"/>
    <w:rsid w:val="5021421C"/>
    <w:rsid w:val="506D232F"/>
    <w:rsid w:val="507D1B45"/>
    <w:rsid w:val="50FD2838"/>
    <w:rsid w:val="51432821"/>
    <w:rsid w:val="516C00A4"/>
    <w:rsid w:val="51A33DCA"/>
    <w:rsid w:val="51BB57DA"/>
    <w:rsid w:val="51BF27E6"/>
    <w:rsid w:val="51F774AB"/>
    <w:rsid w:val="52312E93"/>
    <w:rsid w:val="523646D4"/>
    <w:rsid w:val="5272270C"/>
    <w:rsid w:val="527652A0"/>
    <w:rsid w:val="527D573E"/>
    <w:rsid w:val="52B77C06"/>
    <w:rsid w:val="530D49F3"/>
    <w:rsid w:val="532D0BDC"/>
    <w:rsid w:val="532F34D3"/>
    <w:rsid w:val="538B3923"/>
    <w:rsid w:val="539A2CFB"/>
    <w:rsid w:val="53DA4EEF"/>
    <w:rsid w:val="53FE71D1"/>
    <w:rsid w:val="54360C0B"/>
    <w:rsid w:val="549111E2"/>
    <w:rsid w:val="54B03D8D"/>
    <w:rsid w:val="54B21261"/>
    <w:rsid w:val="54BF01FD"/>
    <w:rsid w:val="54E33229"/>
    <w:rsid w:val="55200F90"/>
    <w:rsid w:val="55253275"/>
    <w:rsid w:val="5554794F"/>
    <w:rsid w:val="5573300A"/>
    <w:rsid w:val="55D401BB"/>
    <w:rsid w:val="55ED74AB"/>
    <w:rsid w:val="55F82164"/>
    <w:rsid w:val="55FF142D"/>
    <w:rsid w:val="562A2FAB"/>
    <w:rsid w:val="568229C4"/>
    <w:rsid w:val="56B07A75"/>
    <w:rsid w:val="56F725FD"/>
    <w:rsid w:val="56FF04B7"/>
    <w:rsid w:val="571C35BA"/>
    <w:rsid w:val="5740249D"/>
    <w:rsid w:val="57604730"/>
    <w:rsid w:val="57866721"/>
    <w:rsid w:val="579413FA"/>
    <w:rsid w:val="57963673"/>
    <w:rsid w:val="57AD4F98"/>
    <w:rsid w:val="57B41DBB"/>
    <w:rsid w:val="57B638CA"/>
    <w:rsid w:val="57C95FDC"/>
    <w:rsid w:val="57EE23C0"/>
    <w:rsid w:val="58103F6C"/>
    <w:rsid w:val="582B1AF5"/>
    <w:rsid w:val="585B1881"/>
    <w:rsid w:val="5875488B"/>
    <w:rsid w:val="58C2702E"/>
    <w:rsid w:val="58D15AFD"/>
    <w:rsid w:val="58D54CFF"/>
    <w:rsid w:val="58DA0239"/>
    <w:rsid w:val="58DF643C"/>
    <w:rsid w:val="58E623EF"/>
    <w:rsid w:val="58EE3034"/>
    <w:rsid w:val="59031CEB"/>
    <w:rsid w:val="590D7AE9"/>
    <w:rsid w:val="595122D2"/>
    <w:rsid w:val="5969510F"/>
    <w:rsid w:val="596B77B0"/>
    <w:rsid w:val="59712385"/>
    <w:rsid w:val="59752E68"/>
    <w:rsid w:val="59833117"/>
    <w:rsid w:val="59ED6A86"/>
    <w:rsid w:val="59F91072"/>
    <w:rsid w:val="5A0A48EF"/>
    <w:rsid w:val="5A3768C2"/>
    <w:rsid w:val="5A5178B2"/>
    <w:rsid w:val="5A6007BB"/>
    <w:rsid w:val="5A911E04"/>
    <w:rsid w:val="5A93784F"/>
    <w:rsid w:val="5AD20459"/>
    <w:rsid w:val="5AF25B18"/>
    <w:rsid w:val="5B0E1A93"/>
    <w:rsid w:val="5B360761"/>
    <w:rsid w:val="5B966CB0"/>
    <w:rsid w:val="5B9C3750"/>
    <w:rsid w:val="5BAC0D1A"/>
    <w:rsid w:val="5BF021C1"/>
    <w:rsid w:val="5C12756B"/>
    <w:rsid w:val="5C1A5808"/>
    <w:rsid w:val="5C684337"/>
    <w:rsid w:val="5C6B7678"/>
    <w:rsid w:val="5C7452E3"/>
    <w:rsid w:val="5C745668"/>
    <w:rsid w:val="5C965E24"/>
    <w:rsid w:val="5CB22ABA"/>
    <w:rsid w:val="5CC6084B"/>
    <w:rsid w:val="5CCC4CBC"/>
    <w:rsid w:val="5D081CF6"/>
    <w:rsid w:val="5D24577B"/>
    <w:rsid w:val="5D79668A"/>
    <w:rsid w:val="5DD1158C"/>
    <w:rsid w:val="5E0D0F5F"/>
    <w:rsid w:val="5E4915C3"/>
    <w:rsid w:val="5E5D41E0"/>
    <w:rsid w:val="5E6448E9"/>
    <w:rsid w:val="5E773017"/>
    <w:rsid w:val="5EE63E42"/>
    <w:rsid w:val="5EEE1CC2"/>
    <w:rsid w:val="5EF52A66"/>
    <w:rsid w:val="5F091F73"/>
    <w:rsid w:val="5F1619C9"/>
    <w:rsid w:val="5F263AF3"/>
    <w:rsid w:val="5F264A3C"/>
    <w:rsid w:val="5F44486F"/>
    <w:rsid w:val="5F504E61"/>
    <w:rsid w:val="5F555A5F"/>
    <w:rsid w:val="5F747E8A"/>
    <w:rsid w:val="5F7A4BB3"/>
    <w:rsid w:val="5F946D3A"/>
    <w:rsid w:val="5FAD4B10"/>
    <w:rsid w:val="5FCB52DE"/>
    <w:rsid w:val="5FEE4F4B"/>
    <w:rsid w:val="602B42AE"/>
    <w:rsid w:val="603E43EF"/>
    <w:rsid w:val="606049A2"/>
    <w:rsid w:val="6074652B"/>
    <w:rsid w:val="60882EBB"/>
    <w:rsid w:val="609B0D62"/>
    <w:rsid w:val="60B2512F"/>
    <w:rsid w:val="61020502"/>
    <w:rsid w:val="610560C2"/>
    <w:rsid w:val="61295AA8"/>
    <w:rsid w:val="613227AA"/>
    <w:rsid w:val="61473ED3"/>
    <w:rsid w:val="6158677F"/>
    <w:rsid w:val="61656A7E"/>
    <w:rsid w:val="616E0726"/>
    <w:rsid w:val="61954E7D"/>
    <w:rsid w:val="61AC2C63"/>
    <w:rsid w:val="62007938"/>
    <w:rsid w:val="620E0D15"/>
    <w:rsid w:val="621722F5"/>
    <w:rsid w:val="622B7672"/>
    <w:rsid w:val="623A0E73"/>
    <w:rsid w:val="625946F5"/>
    <w:rsid w:val="625C5F33"/>
    <w:rsid w:val="626A38DC"/>
    <w:rsid w:val="627A007D"/>
    <w:rsid w:val="62A6730C"/>
    <w:rsid w:val="62AB757B"/>
    <w:rsid w:val="62BD47A8"/>
    <w:rsid w:val="62E657E8"/>
    <w:rsid w:val="62FA6EF8"/>
    <w:rsid w:val="63017B46"/>
    <w:rsid w:val="63097F36"/>
    <w:rsid w:val="63A027C7"/>
    <w:rsid w:val="63D34084"/>
    <w:rsid w:val="63E4683D"/>
    <w:rsid w:val="64014ECB"/>
    <w:rsid w:val="641A5713"/>
    <w:rsid w:val="641F7CC9"/>
    <w:rsid w:val="64827CD8"/>
    <w:rsid w:val="64902D88"/>
    <w:rsid w:val="64BA1641"/>
    <w:rsid w:val="64C82027"/>
    <w:rsid w:val="64D25ACF"/>
    <w:rsid w:val="64E81748"/>
    <w:rsid w:val="657603DF"/>
    <w:rsid w:val="65985DAA"/>
    <w:rsid w:val="65AF3D00"/>
    <w:rsid w:val="65B26614"/>
    <w:rsid w:val="65BA5ADF"/>
    <w:rsid w:val="65D17686"/>
    <w:rsid w:val="65DC4A1C"/>
    <w:rsid w:val="65F047B5"/>
    <w:rsid w:val="65F55292"/>
    <w:rsid w:val="660E0F6F"/>
    <w:rsid w:val="662C6EB7"/>
    <w:rsid w:val="6635628C"/>
    <w:rsid w:val="664E301C"/>
    <w:rsid w:val="66506DAE"/>
    <w:rsid w:val="66634583"/>
    <w:rsid w:val="66751CDB"/>
    <w:rsid w:val="669741A3"/>
    <w:rsid w:val="66B66970"/>
    <w:rsid w:val="66F3724E"/>
    <w:rsid w:val="66F67750"/>
    <w:rsid w:val="67023376"/>
    <w:rsid w:val="672B6396"/>
    <w:rsid w:val="674F7C54"/>
    <w:rsid w:val="67835543"/>
    <w:rsid w:val="67911A1C"/>
    <w:rsid w:val="6791707B"/>
    <w:rsid w:val="67976CB1"/>
    <w:rsid w:val="67C63408"/>
    <w:rsid w:val="68093C9A"/>
    <w:rsid w:val="683A3FD7"/>
    <w:rsid w:val="684F4FD3"/>
    <w:rsid w:val="687B5766"/>
    <w:rsid w:val="687C22A7"/>
    <w:rsid w:val="68833E6C"/>
    <w:rsid w:val="68983A45"/>
    <w:rsid w:val="68BB1C3A"/>
    <w:rsid w:val="68E34621"/>
    <w:rsid w:val="69071C1D"/>
    <w:rsid w:val="690773A2"/>
    <w:rsid w:val="69205F82"/>
    <w:rsid w:val="69217675"/>
    <w:rsid w:val="692D3EC2"/>
    <w:rsid w:val="694050FD"/>
    <w:rsid w:val="69632921"/>
    <w:rsid w:val="699833FF"/>
    <w:rsid w:val="6A11690C"/>
    <w:rsid w:val="6A16625B"/>
    <w:rsid w:val="6A2D338A"/>
    <w:rsid w:val="6A4975B9"/>
    <w:rsid w:val="6A4B5231"/>
    <w:rsid w:val="6A5E6E04"/>
    <w:rsid w:val="6A69354B"/>
    <w:rsid w:val="6A6F734D"/>
    <w:rsid w:val="6A9F07CB"/>
    <w:rsid w:val="6AAA758B"/>
    <w:rsid w:val="6AB77196"/>
    <w:rsid w:val="6AC42684"/>
    <w:rsid w:val="6ACB09AE"/>
    <w:rsid w:val="6AD95BB5"/>
    <w:rsid w:val="6B100DD2"/>
    <w:rsid w:val="6B176F9E"/>
    <w:rsid w:val="6B7B2AA5"/>
    <w:rsid w:val="6B7B7575"/>
    <w:rsid w:val="6B83414A"/>
    <w:rsid w:val="6B850C08"/>
    <w:rsid w:val="6B8C3FF7"/>
    <w:rsid w:val="6B8F553F"/>
    <w:rsid w:val="6BA519FE"/>
    <w:rsid w:val="6BB80419"/>
    <w:rsid w:val="6BDD4AFF"/>
    <w:rsid w:val="6C1A6B08"/>
    <w:rsid w:val="6C285F67"/>
    <w:rsid w:val="6C504A3A"/>
    <w:rsid w:val="6C5305CB"/>
    <w:rsid w:val="6C6068DE"/>
    <w:rsid w:val="6C816B77"/>
    <w:rsid w:val="6C9E5492"/>
    <w:rsid w:val="6CA42495"/>
    <w:rsid w:val="6CC4537A"/>
    <w:rsid w:val="6CE07F05"/>
    <w:rsid w:val="6D060C62"/>
    <w:rsid w:val="6D6467DB"/>
    <w:rsid w:val="6D7D48C1"/>
    <w:rsid w:val="6D7E0B5E"/>
    <w:rsid w:val="6D9621D3"/>
    <w:rsid w:val="6DA56695"/>
    <w:rsid w:val="6E022814"/>
    <w:rsid w:val="6E8E0D6C"/>
    <w:rsid w:val="6EF801FE"/>
    <w:rsid w:val="6F18138E"/>
    <w:rsid w:val="6F3760A6"/>
    <w:rsid w:val="6F481544"/>
    <w:rsid w:val="6F6B2B81"/>
    <w:rsid w:val="6F71559A"/>
    <w:rsid w:val="6F8035D2"/>
    <w:rsid w:val="6F882388"/>
    <w:rsid w:val="6F8F6092"/>
    <w:rsid w:val="6FA95BBC"/>
    <w:rsid w:val="6FB05554"/>
    <w:rsid w:val="6FF678BC"/>
    <w:rsid w:val="700B5AE1"/>
    <w:rsid w:val="70632747"/>
    <w:rsid w:val="70677DEE"/>
    <w:rsid w:val="707E1787"/>
    <w:rsid w:val="70A457DF"/>
    <w:rsid w:val="70AC1239"/>
    <w:rsid w:val="70B01514"/>
    <w:rsid w:val="70D953C2"/>
    <w:rsid w:val="70E13811"/>
    <w:rsid w:val="70EE7982"/>
    <w:rsid w:val="7106677A"/>
    <w:rsid w:val="71210D91"/>
    <w:rsid w:val="71262241"/>
    <w:rsid w:val="71A340CC"/>
    <w:rsid w:val="71A54321"/>
    <w:rsid w:val="71B019C8"/>
    <w:rsid w:val="71F46F44"/>
    <w:rsid w:val="72013C3E"/>
    <w:rsid w:val="72372B0E"/>
    <w:rsid w:val="72694C95"/>
    <w:rsid w:val="726E298D"/>
    <w:rsid w:val="727619EB"/>
    <w:rsid w:val="72802A0F"/>
    <w:rsid w:val="728D263E"/>
    <w:rsid w:val="72966311"/>
    <w:rsid w:val="72A11BA4"/>
    <w:rsid w:val="731A2270"/>
    <w:rsid w:val="73286FE6"/>
    <w:rsid w:val="737838E9"/>
    <w:rsid w:val="7393631E"/>
    <w:rsid w:val="739D4D93"/>
    <w:rsid w:val="73A70662"/>
    <w:rsid w:val="73F70B86"/>
    <w:rsid w:val="73FA3A46"/>
    <w:rsid w:val="743201D2"/>
    <w:rsid w:val="74690842"/>
    <w:rsid w:val="747A3654"/>
    <w:rsid w:val="747E329E"/>
    <w:rsid w:val="74EB588B"/>
    <w:rsid w:val="74F61AD7"/>
    <w:rsid w:val="75070A50"/>
    <w:rsid w:val="75093A64"/>
    <w:rsid w:val="75201E08"/>
    <w:rsid w:val="75236ADD"/>
    <w:rsid w:val="754964F5"/>
    <w:rsid w:val="758A4106"/>
    <w:rsid w:val="75910CFD"/>
    <w:rsid w:val="75BC21F6"/>
    <w:rsid w:val="75BE338C"/>
    <w:rsid w:val="75BE6DCA"/>
    <w:rsid w:val="75F0779F"/>
    <w:rsid w:val="75FD1E1D"/>
    <w:rsid w:val="76255382"/>
    <w:rsid w:val="76652554"/>
    <w:rsid w:val="76D955F7"/>
    <w:rsid w:val="770858DF"/>
    <w:rsid w:val="770B7BC0"/>
    <w:rsid w:val="771515C8"/>
    <w:rsid w:val="772C5A7C"/>
    <w:rsid w:val="774B7D02"/>
    <w:rsid w:val="7764126D"/>
    <w:rsid w:val="776C48BF"/>
    <w:rsid w:val="77716C78"/>
    <w:rsid w:val="779173BE"/>
    <w:rsid w:val="779B78ED"/>
    <w:rsid w:val="77D12130"/>
    <w:rsid w:val="77F10AC4"/>
    <w:rsid w:val="781F739E"/>
    <w:rsid w:val="782C38A5"/>
    <w:rsid w:val="785C0D38"/>
    <w:rsid w:val="78885DF7"/>
    <w:rsid w:val="78C67AE9"/>
    <w:rsid w:val="78CF423E"/>
    <w:rsid w:val="78EA52F9"/>
    <w:rsid w:val="792861AD"/>
    <w:rsid w:val="796721E3"/>
    <w:rsid w:val="79C453B0"/>
    <w:rsid w:val="7A376EC0"/>
    <w:rsid w:val="7A4C6F3B"/>
    <w:rsid w:val="7A6C476C"/>
    <w:rsid w:val="7A823E21"/>
    <w:rsid w:val="7A9E210E"/>
    <w:rsid w:val="7AC726FE"/>
    <w:rsid w:val="7AFF0CA0"/>
    <w:rsid w:val="7B0F5781"/>
    <w:rsid w:val="7B1B2898"/>
    <w:rsid w:val="7B20112A"/>
    <w:rsid w:val="7B2A0730"/>
    <w:rsid w:val="7B4C593A"/>
    <w:rsid w:val="7B5F11FC"/>
    <w:rsid w:val="7B6C4B92"/>
    <w:rsid w:val="7B896622"/>
    <w:rsid w:val="7BC42B3D"/>
    <w:rsid w:val="7BE5609F"/>
    <w:rsid w:val="7C393BAF"/>
    <w:rsid w:val="7C3F39DF"/>
    <w:rsid w:val="7C7900A3"/>
    <w:rsid w:val="7C8C36C8"/>
    <w:rsid w:val="7C9B4ACF"/>
    <w:rsid w:val="7DA014C0"/>
    <w:rsid w:val="7E1D7A71"/>
    <w:rsid w:val="7E2176CD"/>
    <w:rsid w:val="7E276AFC"/>
    <w:rsid w:val="7E3B0EF3"/>
    <w:rsid w:val="7E6753B4"/>
    <w:rsid w:val="7E712DAE"/>
    <w:rsid w:val="7E9F19F4"/>
    <w:rsid w:val="7EAD6474"/>
    <w:rsid w:val="7F0549CA"/>
    <w:rsid w:val="7F140065"/>
    <w:rsid w:val="7F1A2F22"/>
    <w:rsid w:val="7F3040E9"/>
    <w:rsid w:val="7FB97696"/>
    <w:rsid w:val="7FC04646"/>
    <w:rsid w:val="7FD33D52"/>
    <w:rsid w:val="7FFA0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80" w:lineRule="exact"/>
      <w:ind w:firstLine="200" w:firstLineChars="200"/>
      <w:jc w:val="both"/>
    </w:pPr>
    <w:rPr>
      <w:rFonts w:ascii="Times New Roman" w:hAnsi="Times New Roman" w:eastAsia="宋体" w:cs="Times New Roman"/>
      <w:sz w:val="24"/>
      <w:szCs w:val="22"/>
      <w:lang w:val="en-US" w:eastAsia="en-US" w:bidi="ar-SA"/>
    </w:rPr>
  </w:style>
  <w:style w:type="paragraph" w:styleId="2">
    <w:name w:val="heading 1"/>
    <w:basedOn w:val="1"/>
    <w:next w:val="1"/>
    <w:link w:val="35"/>
    <w:autoRedefine/>
    <w:qFormat/>
    <w:uiPriority w:val="0"/>
    <w:pPr>
      <w:numPr>
        <w:ilvl w:val="0"/>
        <w:numId w:val="1"/>
      </w:numPr>
      <w:snapToGrid w:val="0"/>
      <w:spacing w:before="50" w:beforeLines="50" w:after="50" w:afterLines="50" w:line="440" w:lineRule="exact"/>
      <w:ind w:firstLineChars="0"/>
      <w:outlineLvl w:val="0"/>
    </w:pPr>
    <w:rPr>
      <w:rFonts w:ascii="Times New Roman" w:hAnsi="Times New Roman" w:eastAsia="黑体"/>
      <w:sz w:val="32"/>
      <w:szCs w:val="28"/>
    </w:rPr>
  </w:style>
  <w:style w:type="paragraph" w:styleId="3">
    <w:name w:val="heading 2"/>
    <w:basedOn w:val="1"/>
    <w:next w:val="1"/>
    <w:link w:val="36"/>
    <w:autoRedefine/>
    <w:qFormat/>
    <w:uiPriority w:val="0"/>
    <w:pPr>
      <w:keepNext/>
      <w:keepLines/>
      <w:numPr>
        <w:ilvl w:val="1"/>
        <w:numId w:val="1"/>
      </w:numPr>
      <w:snapToGrid w:val="0"/>
      <w:spacing w:before="50" w:beforeLines="50" w:after="50" w:afterLines="50" w:line="440" w:lineRule="exact"/>
      <w:ind w:left="0" w:firstLineChars="0"/>
      <w:outlineLvl w:val="1"/>
    </w:pPr>
    <w:rPr>
      <w:rFonts w:ascii="Times New Roman" w:hAnsi="Times New Roman" w:eastAsia="黑体"/>
      <w:sz w:val="30"/>
      <w:szCs w:val="32"/>
      <w:lang w:eastAsia="zh-CN"/>
    </w:rPr>
  </w:style>
  <w:style w:type="paragraph" w:styleId="4">
    <w:name w:val="heading 3"/>
    <w:basedOn w:val="1"/>
    <w:next w:val="1"/>
    <w:autoRedefine/>
    <w:qFormat/>
    <w:uiPriority w:val="0"/>
    <w:pPr>
      <w:numPr>
        <w:ilvl w:val="2"/>
        <w:numId w:val="1"/>
      </w:numPr>
      <w:tabs>
        <w:tab w:val="left" w:pos="440"/>
      </w:tabs>
      <w:snapToGrid w:val="0"/>
      <w:spacing w:before="50" w:beforeLines="50" w:after="50" w:afterLines="50" w:line="440" w:lineRule="exact"/>
      <w:ind w:firstLineChars="0"/>
      <w:outlineLvl w:val="2"/>
    </w:pPr>
    <w:rPr>
      <w:rFonts w:ascii="Times New Roman" w:hAnsi="Times New Roman" w:eastAsia="宋体"/>
      <w:sz w:val="28"/>
      <w:szCs w:val="24"/>
      <w:lang w:eastAsia="zh-CN"/>
    </w:rPr>
  </w:style>
  <w:style w:type="paragraph" w:styleId="5">
    <w:name w:val="heading 4"/>
    <w:basedOn w:val="1"/>
    <w:next w:val="1"/>
    <w:link w:val="37"/>
    <w:autoRedefine/>
    <w:qFormat/>
    <w:uiPriority w:val="0"/>
    <w:pPr>
      <w:keepNext/>
      <w:keepLines/>
      <w:spacing w:before="50" w:beforeLines="50" w:after="50" w:afterLines="50" w:line="240" w:lineRule="auto"/>
      <w:ind w:firstLine="0" w:firstLineChars="0"/>
      <w:outlineLvl w:val="3"/>
    </w:pPr>
    <w:rPr>
      <w:bCs/>
      <w:szCs w:val="28"/>
    </w:rPr>
  </w:style>
  <w:style w:type="character" w:default="1" w:styleId="29">
    <w:name w:val="Default Paragraph Font"/>
    <w:semiHidden/>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320"/>
    </w:pPr>
    <w:rPr>
      <w:rFonts w:ascii="Calibri" w:hAnsi="Calibri" w:cs="Calibri"/>
      <w:sz w:val="18"/>
      <w:szCs w:val="18"/>
    </w:rPr>
  </w:style>
  <w:style w:type="paragraph" w:styleId="7">
    <w:name w:val="Normal Indent"/>
    <w:basedOn w:val="1"/>
    <w:qFormat/>
    <w:uiPriority w:val="0"/>
    <w:pPr>
      <w:ind w:firstLine="420"/>
    </w:pPr>
    <w:rPr>
      <w:rFonts w:ascii="宋体" w:hAnsi="宋体" w:cs="宋体"/>
      <w:bCs/>
      <w:color w:val="000000"/>
      <w:kern w:val="2"/>
      <w:sz w:val="21"/>
      <w:szCs w:val="21"/>
      <w:lang w:eastAsia="zh-CN"/>
    </w:rPr>
  </w:style>
  <w:style w:type="paragraph" w:styleId="8">
    <w:name w:val="caption"/>
    <w:basedOn w:val="1"/>
    <w:next w:val="1"/>
    <w:autoRedefine/>
    <w:qFormat/>
    <w:uiPriority w:val="0"/>
    <w:pPr>
      <w:numPr>
        <w:ilvl w:val="3"/>
        <w:numId w:val="1"/>
      </w:numPr>
      <w:spacing w:line="240" w:lineRule="exact"/>
      <w:ind w:left="0" w:firstLineChars="0"/>
      <w:jc w:val="center"/>
    </w:pPr>
    <w:rPr>
      <w:rFonts w:eastAsia="黑体" w:cs="等线 Light"/>
      <w:kern w:val="2"/>
      <w:sz w:val="21"/>
      <w:szCs w:val="21"/>
      <w:lang w:eastAsia="zh-CN"/>
    </w:rPr>
  </w:style>
  <w:style w:type="paragraph" w:styleId="9">
    <w:name w:val="Document Map"/>
    <w:basedOn w:val="1"/>
    <w:autoRedefine/>
    <w:semiHidden/>
    <w:qFormat/>
    <w:uiPriority w:val="0"/>
    <w:pPr>
      <w:shd w:val="clear" w:color="auto" w:fill="000080"/>
    </w:pPr>
  </w:style>
  <w:style w:type="paragraph" w:styleId="10">
    <w:name w:val="annotation text"/>
    <w:basedOn w:val="1"/>
    <w:link w:val="59"/>
    <w:qFormat/>
    <w:uiPriority w:val="0"/>
  </w:style>
  <w:style w:type="paragraph" w:styleId="11">
    <w:name w:val="Body Text"/>
    <w:basedOn w:val="1"/>
    <w:link w:val="67"/>
    <w:qFormat/>
    <w:uiPriority w:val="0"/>
    <w:pPr>
      <w:ind w:left="117"/>
    </w:pPr>
    <w:rPr>
      <w:rFonts w:ascii="宋体" w:hAnsi="宋体"/>
      <w:sz w:val="21"/>
      <w:szCs w:val="21"/>
    </w:rPr>
  </w:style>
  <w:style w:type="paragraph" w:styleId="12">
    <w:name w:val="toc 5"/>
    <w:basedOn w:val="1"/>
    <w:next w:val="1"/>
    <w:autoRedefine/>
    <w:unhideWhenUsed/>
    <w:qFormat/>
    <w:uiPriority w:val="39"/>
    <w:pPr>
      <w:ind w:left="880"/>
    </w:pPr>
    <w:rPr>
      <w:rFonts w:ascii="Calibri" w:hAnsi="Calibri" w:cs="Calibri"/>
      <w:sz w:val="18"/>
      <w:szCs w:val="18"/>
    </w:rPr>
  </w:style>
  <w:style w:type="paragraph" w:styleId="13">
    <w:name w:val="toc 3"/>
    <w:basedOn w:val="1"/>
    <w:next w:val="1"/>
    <w:autoRedefine/>
    <w:unhideWhenUsed/>
    <w:qFormat/>
    <w:uiPriority w:val="39"/>
    <w:pPr>
      <w:ind w:left="440"/>
    </w:pPr>
    <w:rPr>
      <w:rFonts w:ascii="Calibri" w:hAnsi="Calibri" w:cs="Calibri"/>
      <w:i/>
      <w:iCs/>
      <w:sz w:val="20"/>
      <w:szCs w:val="20"/>
    </w:rPr>
  </w:style>
  <w:style w:type="paragraph" w:styleId="14">
    <w:name w:val="toc 8"/>
    <w:basedOn w:val="1"/>
    <w:next w:val="1"/>
    <w:autoRedefine/>
    <w:unhideWhenUsed/>
    <w:qFormat/>
    <w:uiPriority w:val="39"/>
    <w:pPr>
      <w:ind w:left="1540"/>
    </w:pPr>
    <w:rPr>
      <w:rFonts w:ascii="Calibri" w:hAnsi="Calibri" w:cs="Calibri"/>
      <w:sz w:val="18"/>
      <w:szCs w:val="18"/>
    </w:rPr>
  </w:style>
  <w:style w:type="paragraph" w:styleId="15">
    <w:name w:val="Date"/>
    <w:basedOn w:val="1"/>
    <w:next w:val="1"/>
    <w:link w:val="69"/>
    <w:qFormat/>
    <w:uiPriority w:val="0"/>
    <w:pPr>
      <w:ind w:left="100" w:leftChars="2500"/>
    </w:pPr>
  </w:style>
  <w:style w:type="paragraph" w:styleId="16">
    <w:name w:val="Balloon Text"/>
    <w:basedOn w:val="1"/>
    <w:link w:val="54"/>
    <w:autoRedefine/>
    <w:semiHidden/>
    <w:qFormat/>
    <w:uiPriority w:val="0"/>
    <w:rPr>
      <w:rFonts w:ascii="等线" w:hAnsi="等线" w:eastAsia="等线" w:cs="等线"/>
      <w:kern w:val="2"/>
      <w:sz w:val="18"/>
      <w:szCs w:val="18"/>
      <w:lang w:eastAsia="zh-CN"/>
    </w:rPr>
  </w:style>
  <w:style w:type="paragraph" w:styleId="17">
    <w:name w:val="footer"/>
    <w:basedOn w:val="1"/>
    <w:link w:val="55"/>
    <w:autoRedefine/>
    <w:qFormat/>
    <w:uiPriority w:val="99"/>
    <w:pPr>
      <w:tabs>
        <w:tab w:val="center" w:pos="4153"/>
        <w:tab w:val="right" w:pos="8306"/>
      </w:tabs>
      <w:snapToGrid w:val="0"/>
    </w:pPr>
    <w:rPr>
      <w:sz w:val="18"/>
      <w:szCs w:val="18"/>
    </w:rPr>
  </w:style>
  <w:style w:type="paragraph" w:styleId="18">
    <w:name w:val="header"/>
    <w:basedOn w:val="1"/>
    <w:link w:val="60"/>
    <w:autoRedefine/>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qFormat/>
    <w:uiPriority w:val="39"/>
    <w:pPr>
      <w:spacing w:before="120" w:after="120"/>
    </w:pPr>
    <w:rPr>
      <w:rFonts w:ascii="Calibri" w:hAnsi="Calibri" w:cs="Calibri"/>
      <w:b/>
      <w:bCs/>
      <w:caps/>
      <w:sz w:val="20"/>
      <w:szCs w:val="20"/>
    </w:rPr>
  </w:style>
  <w:style w:type="paragraph" w:styleId="20">
    <w:name w:val="toc 4"/>
    <w:basedOn w:val="1"/>
    <w:next w:val="1"/>
    <w:unhideWhenUsed/>
    <w:qFormat/>
    <w:uiPriority w:val="39"/>
    <w:pPr>
      <w:ind w:left="660"/>
    </w:pPr>
    <w:rPr>
      <w:rFonts w:ascii="Calibri" w:hAnsi="Calibri" w:cs="Calibri"/>
      <w:sz w:val="18"/>
      <w:szCs w:val="18"/>
    </w:rPr>
  </w:style>
  <w:style w:type="paragraph" w:styleId="21">
    <w:name w:val="footnote text"/>
    <w:basedOn w:val="1"/>
    <w:link w:val="57"/>
    <w:autoRedefine/>
    <w:semiHidden/>
    <w:qFormat/>
    <w:uiPriority w:val="0"/>
    <w:pPr>
      <w:snapToGrid w:val="0"/>
    </w:pPr>
    <w:rPr>
      <w:rFonts w:ascii="等线" w:hAnsi="等线" w:eastAsia="等线" w:cs="等线"/>
      <w:kern w:val="2"/>
      <w:sz w:val="18"/>
      <w:szCs w:val="18"/>
      <w:lang w:eastAsia="zh-CN"/>
    </w:rPr>
  </w:style>
  <w:style w:type="paragraph" w:styleId="22">
    <w:name w:val="toc 6"/>
    <w:basedOn w:val="1"/>
    <w:next w:val="1"/>
    <w:autoRedefine/>
    <w:unhideWhenUsed/>
    <w:qFormat/>
    <w:uiPriority w:val="39"/>
    <w:pPr>
      <w:ind w:left="1100"/>
    </w:pPr>
    <w:rPr>
      <w:rFonts w:ascii="Calibri" w:hAnsi="Calibri" w:cs="Calibri"/>
      <w:sz w:val="18"/>
      <w:szCs w:val="18"/>
    </w:rPr>
  </w:style>
  <w:style w:type="paragraph" w:styleId="23">
    <w:name w:val="toc 2"/>
    <w:basedOn w:val="1"/>
    <w:next w:val="1"/>
    <w:autoRedefine/>
    <w:unhideWhenUsed/>
    <w:qFormat/>
    <w:uiPriority w:val="39"/>
    <w:pPr>
      <w:ind w:left="220"/>
    </w:pPr>
    <w:rPr>
      <w:rFonts w:ascii="Calibri" w:hAnsi="Calibri" w:cs="Calibri"/>
      <w:smallCaps/>
      <w:sz w:val="20"/>
      <w:szCs w:val="20"/>
    </w:rPr>
  </w:style>
  <w:style w:type="paragraph" w:styleId="24">
    <w:name w:val="toc 9"/>
    <w:basedOn w:val="1"/>
    <w:next w:val="1"/>
    <w:autoRedefine/>
    <w:unhideWhenUsed/>
    <w:qFormat/>
    <w:uiPriority w:val="39"/>
    <w:pPr>
      <w:ind w:left="1760"/>
    </w:pPr>
    <w:rPr>
      <w:rFonts w:ascii="Calibri" w:hAnsi="Calibri" w:cs="Calibri"/>
      <w:sz w:val="18"/>
      <w:szCs w:val="18"/>
    </w:rPr>
  </w:style>
  <w:style w:type="paragraph" w:styleId="25">
    <w:name w:val="Normal (Web)"/>
    <w:basedOn w:val="1"/>
    <w:autoRedefine/>
    <w:qFormat/>
    <w:uiPriority w:val="0"/>
    <w:rPr>
      <w:rFonts w:ascii="等线" w:hAnsi="等线" w:eastAsia="等线" w:cs="等线"/>
      <w:kern w:val="2"/>
      <w:szCs w:val="24"/>
      <w:lang w:eastAsia="zh-CN"/>
    </w:rPr>
  </w:style>
  <w:style w:type="paragraph" w:styleId="26">
    <w:name w:val="annotation subject"/>
    <w:basedOn w:val="10"/>
    <w:next w:val="10"/>
    <w:link w:val="62"/>
    <w:autoRedefine/>
    <w:qFormat/>
    <w:uiPriority w:val="0"/>
    <w:rPr>
      <w:b/>
      <w:bCs/>
    </w:rPr>
  </w:style>
  <w:style w:type="table" w:styleId="28">
    <w:name w:val="Table Grid"/>
    <w:basedOn w:val="27"/>
    <w:autoRedefine/>
    <w:qFormat/>
    <w:uiPriority w:val="39"/>
    <w:pPr>
      <w:widowControl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autoRedefine/>
    <w:qFormat/>
    <w:uiPriority w:val="0"/>
    <w:rPr>
      <w:b/>
    </w:rPr>
  </w:style>
  <w:style w:type="character" w:styleId="31">
    <w:name w:val="page number"/>
    <w:basedOn w:val="29"/>
    <w:autoRedefine/>
    <w:qFormat/>
    <w:uiPriority w:val="0"/>
  </w:style>
  <w:style w:type="character" w:styleId="32">
    <w:name w:val="FollowedHyperlink"/>
    <w:basedOn w:val="29"/>
    <w:semiHidden/>
    <w:unhideWhenUsed/>
    <w:qFormat/>
    <w:uiPriority w:val="0"/>
    <w:rPr>
      <w:color w:val="0000CC"/>
      <w:sz w:val="22"/>
      <w:szCs w:val="22"/>
      <w:u w:val="single"/>
    </w:rPr>
  </w:style>
  <w:style w:type="character" w:styleId="33">
    <w:name w:val="Hyperlink"/>
    <w:qFormat/>
    <w:uiPriority w:val="99"/>
    <w:rPr>
      <w:rFonts w:cs="Times New Roman"/>
      <w:color w:val="0563C1"/>
      <w:u w:val="single"/>
    </w:rPr>
  </w:style>
  <w:style w:type="character" w:styleId="34">
    <w:name w:val="annotation reference"/>
    <w:qFormat/>
    <w:uiPriority w:val="0"/>
    <w:rPr>
      <w:sz w:val="21"/>
      <w:szCs w:val="21"/>
    </w:rPr>
  </w:style>
  <w:style w:type="character" w:customStyle="1" w:styleId="35">
    <w:name w:val="标题 1 字符"/>
    <w:link w:val="2"/>
    <w:autoRedefine/>
    <w:qFormat/>
    <w:locked/>
    <w:uiPriority w:val="0"/>
    <w:rPr>
      <w:rFonts w:ascii="Times New Roman" w:hAnsi="Times New Roman" w:eastAsia="黑体"/>
      <w:sz w:val="32"/>
      <w:szCs w:val="28"/>
      <w:lang w:eastAsia="en-US"/>
    </w:rPr>
  </w:style>
  <w:style w:type="character" w:customStyle="1" w:styleId="36">
    <w:name w:val="标题 2 字符"/>
    <w:link w:val="3"/>
    <w:qFormat/>
    <w:uiPriority w:val="0"/>
    <w:rPr>
      <w:rFonts w:ascii="Times New Roman" w:hAnsi="Times New Roman" w:eastAsia="黑体"/>
      <w:sz w:val="30"/>
      <w:szCs w:val="32"/>
    </w:rPr>
  </w:style>
  <w:style w:type="character" w:customStyle="1" w:styleId="37">
    <w:name w:val="标题 4 字符"/>
    <w:link w:val="5"/>
    <w:qFormat/>
    <w:uiPriority w:val="0"/>
    <w:rPr>
      <w:bCs/>
      <w:sz w:val="24"/>
      <w:szCs w:val="28"/>
      <w:lang w:eastAsia="en-US"/>
    </w:rPr>
  </w:style>
  <w:style w:type="paragraph" w:customStyle="1" w:styleId="38">
    <w:name w:val="报告正文"/>
    <w:basedOn w:val="11"/>
    <w:link w:val="58"/>
    <w:autoRedefine/>
    <w:qFormat/>
    <w:uiPriority w:val="0"/>
    <w:pPr>
      <w:spacing w:line="360" w:lineRule="auto"/>
      <w:ind w:left="0"/>
    </w:pPr>
    <w:rPr>
      <w:rFonts w:ascii="Times New Roman" w:hAnsi="Times New Roman" w:eastAsia="等线"/>
      <w:sz w:val="24"/>
      <w:szCs w:val="24"/>
      <w:lang w:eastAsia="zh-CN"/>
    </w:rPr>
  </w:style>
  <w:style w:type="paragraph" w:customStyle="1" w:styleId="39">
    <w:name w:val="清华标题格式"/>
    <w:basedOn w:val="1"/>
    <w:link w:val="63"/>
    <w:qFormat/>
    <w:uiPriority w:val="0"/>
    <w:pPr>
      <w:keepNext/>
      <w:keepLines/>
      <w:spacing w:line="360" w:lineRule="auto"/>
      <w:outlineLvl w:val="0"/>
    </w:pPr>
    <w:rPr>
      <w:rFonts w:eastAsia="黑体"/>
      <w:b/>
      <w:bCs/>
      <w:kern w:val="44"/>
      <w:sz w:val="32"/>
      <w:szCs w:val="32"/>
      <w:lang w:eastAsia="zh-CN"/>
    </w:rPr>
  </w:style>
  <w:style w:type="paragraph" w:customStyle="1" w:styleId="40">
    <w:name w:val="图表明"/>
    <w:basedOn w:val="1"/>
    <w:next w:val="1"/>
    <w:link w:val="70"/>
    <w:qFormat/>
    <w:uiPriority w:val="0"/>
    <w:pPr>
      <w:spacing w:line="0" w:lineRule="atLeast"/>
      <w:ind w:firstLine="0" w:firstLineChars="0"/>
      <w:jc w:val="center"/>
    </w:pPr>
    <w:rPr>
      <w:rFonts w:eastAsia="黑体"/>
      <w:sz w:val="18"/>
      <w:szCs w:val="21"/>
      <w:lang w:eastAsia="zh-CN"/>
    </w:rPr>
  </w:style>
  <w:style w:type="paragraph" w:customStyle="1" w:styleId="41">
    <w:name w:val="c1"/>
    <w:basedOn w:val="1"/>
    <w:qFormat/>
    <w:uiPriority w:val="0"/>
    <w:pPr>
      <w:spacing w:line="440" w:lineRule="exact"/>
    </w:pPr>
    <w:rPr>
      <w:rFonts w:ascii="宋体" w:hAnsi="宋体"/>
      <w:kern w:val="2"/>
      <w:szCs w:val="24"/>
      <w:lang w:eastAsia="zh-CN"/>
    </w:rPr>
  </w:style>
  <w:style w:type="paragraph" w:customStyle="1" w:styleId="42">
    <w:name w:val="Table Paragraph"/>
    <w:basedOn w:val="1"/>
    <w:autoRedefine/>
    <w:qFormat/>
    <w:uiPriority w:val="1"/>
  </w:style>
  <w:style w:type="paragraph" w:customStyle="1" w:styleId="43">
    <w:name w:val="TOC 标题1"/>
    <w:basedOn w:val="2"/>
    <w:next w:val="1"/>
    <w:qFormat/>
    <w:uiPriority w:val="39"/>
    <w:pPr>
      <w:keepNext/>
      <w:keepLines/>
      <w:widowControl/>
      <w:spacing w:before="480" w:line="276" w:lineRule="auto"/>
      <w:outlineLvl w:val="9"/>
    </w:pPr>
    <w:rPr>
      <w:rFonts w:ascii="Calibri Light" w:hAnsi="Calibri Light" w:eastAsia="宋体"/>
      <w:b/>
      <w:bCs/>
      <w:color w:val="2E74B5"/>
      <w:lang w:eastAsia="zh-CN"/>
    </w:rPr>
  </w:style>
  <w:style w:type="paragraph" w:customStyle="1" w:styleId="44">
    <w:name w:val="段"/>
    <w:link w:val="7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paragraph" w:customStyle="1" w:styleId="45">
    <w:name w:val="编号正文缩进"/>
    <w:basedOn w:val="1"/>
    <w:qFormat/>
    <w:uiPriority w:val="0"/>
    <w:pPr>
      <w:numPr>
        <w:ilvl w:val="0"/>
        <w:numId w:val="2"/>
      </w:numPr>
    </w:pPr>
    <w:rPr>
      <w:kern w:val="2"/>
      <w:sz w:val="21"/>
      <w:szCs w:val="20"/>
      <w:lang w:eastAsia="zh-CN"/>
    </w:rPr>
  </w:style>
  <w:style w:type="paragraph" w:customStyle="1" w:styleId="46">
    <w:name w:val="List Paragraph1"/>
    <w:basedOn w:val="1"/>
    <w:qFormat/>
    <w:uiPriority w:val="99"/>
    <w:pPr>
      <w:ind w:firstLine="420"/>
    </w:pPr>
  </w:style>
  <w:style w:type="paragraph" w:customStyle="1" w:styleId="47">
    <w:name w:val="列出段落1"/>
    <w:basedOn w:val="1"/>
    <w:qFormat/>
    <w:uiPriority w:val="0"/>
    <w:pPr>
      <w:ind w:firstLine="420"/>
    </w:pPr>
    <w:rPr>
      <w:rFonts w:ascii="等线" w:hAnsi="等线" w:eastAsia="等线" w:cs="等线"/>
      <w:kern w:val="2"/>
      <w:sz w:val="21"/>
      <w:szCs w:val="21"/>
      <w:lang w:eastAsia="zh-CN"/>
    </w:rPr>
  </w:style>
  <w:style w:type="paragraph" w:customStyle="1" w:styleId="48">
    <w:name w:val="_Style 2"/>
    <w:basedOn w:val="1"/>
    <w:autoRedefine/>
    <w:qFormat/>
    <w:uiPriority w:val="34"/>
    <w:pPr>
      <w:ind w:firstLine="420"/>
    </w:pPr>
    <w:rPr>
      <w:szCs w:val="24"/>
    </w:rPr>
  </w:style>
  <w:style w:type="paragraph" w:customStyle="1" w:styleId="49">
    <w:name w:val="TOC Heading1"/>
    <w:basedOn w:val="2"/>
    <w:next w:val="1"/>
    <w:qFormat/>
    <w:uiPriority w:val="0"/>
    <w:pPr>
      <w:keepNext/>
      <w:keepLines/>
      <w:widowControl/>
      <w:spacing w:before="240" w:line="259" w:lineRule="auto"/>
      <w:outlineLvl w:val="9"/>
    </w:pPr>
    <w:rPr>
      <w:rFonts w:ascii="等线 Light" w:hAnsi="等线 Light" w:eastAsia="等线 Light" w:cs="等线 Light"/>
      <w:color w:val="2F5496"/>
      <w:sz w:val="32"/>
      <w:szCs w:val="32"/>
      <w:lang w:eastAsia="zh-CN"/>
    </w:rPr>
  </w:style>
  <w:style w:type="paragraph" w:customStyle="1" w:styleId="50">
    <w:name w:val="列出段落11"/>
    <w:basedOn w:val="1"/>
    <w:qFormat/>
    <w:uiPriority w:val="1"/>
    <w:rPr>
      <w:rFonts w:eastAsia="Calibri"/>
    </w:rPr>
  </w:style>
  <w:style w:type="paragraph" w:customStyle="1" w:styleId="51">
    <w:name w:val="表格"/>
    <w:basedOn w:val="1"/>
    <w:link w:val="71"/>
    <w:autoRedefine/>
    <w:qFormat/>
    <w:uiPriority w:val="0"/>
    <w:pPr>
      <w:ind w:firstLine="0" w:firstLineChars="0"/>
      <w:jc w:val="center"/>
    </w:pPr>
    <w:rPr>
      <w:rFonts w:eastAsia="黑体"/>
      <w:sz w:val="21"/>
      <w:lang w:eastAsia="zh-CN"/>
    </w:rPr>
  </w:style>
  <w:style w:type="paragraph" w:customStyle="1" w:styleId="52">
    <w:name w:val="图片"/>
    <w:basedOn w:val="1"/>
    <w:link w:val="72"/>
    <w:qFormat/>
    <w:uiPriority w:val="0"/>
    <w:pPr>
      <w:spacing w:line="240" w:lineRule="atLeast"/>
      <w:ind w:firstLine="0" w:firstLineChars="0"/>
      <w:jc w:val="center"/>
    </w:pPr>
    <w:rPr>
      <w:lang w:eastAsia="zh-CN"/>
    </w:rPr>
  </w:style>
  <w:style w:type="character" w:customStyle="1" w:styleId="53">
    <w:name w:val="font11"/>
    <w:qFormat/>
    <w:uiPriority w:val="0"/>
    <w:rPr>
      <w:rFonts w:ascii="宋体" w:hAnsi="宋体" w:eastAsia="宋体" w:cs="宋体"/>
      <w:color w:val="000000"/>
      <w:sz w:val="20"/>
      <w:szCs w:val="20"/>
      <w:u w:val="none"/>
    </w:rPr>
  </w:style>
  <w:style w:type="character" w:customStyle="1" w:styleId="54">
    <w:name w:val="批注框文本 字符"/>
    <w:link w:val="16"/>
    <w:semiHidden/>
    <w:qFormat/>
    <w:locked/>
    <w:uiPriority w:val="0"/>
    <w:rPr>
      <w:rFonts w:ascii="等线" w:hAnsi="等线" w:eastAsia="等线" w:cs="等线"/>
      <w:kern w:val="2"/>
      <w:sz w:val="18"/>
      <w:szCs w:val="18"/>
      <w:lang w:val="en-US" w:eastAsia="zh-CN" w:bidi="ar-SA"/>
    </w:rPr>
  </w:style>
  <w:style w:type="character" w:customStyle="1" w:styleId="55">
    <w:name w:val="页脚 字符"/>
    <w:link w:val="17"/>
    <w:autoRedefine/>
    <w:qFormat/>
    <w:uiPriority w:val="99"/>
    <w:rPr>
      <w:rFonts w:ascii="Calibri" w:hAnsi="Calibri"/>
      <w:sz w:val="18"/>
      <w:szCs w:val="18"/>
      <w:lang w:eastAsia="en-US"/>
    </w:rPr>
  </w:style>
  <w:style w:type="character" w:customStyle="1" w:styleId="56">
    <w:name w:val="样式 黑体 小四"/>
    <w:qFormat/>
    <w:uiPriority w:val="0"/>
    <w:rPr>
      <w:rFonts w:ascii="黑体" w:eastAsia="黑体"/>
      <w:sz w:val="24"/>
    </w:rPr>
  </w:style>
  <w:style w:type="character" w:customStyle="1" w:styleId="57">
    <w:name w:val="脚注文本 字符"/>
    <w:link w:val="21"/>
    <w:semiHidden/>
    <w:qFormat/>
    <w:locked/>
    <w:uiPriority w:val="0"/>
    <w:rPr>
      <w:rFonts w:ascii="等线" w:hAnsi="等线" w:eastAsia="等线" w:cs="等线"/>
      <w:kern w:val="2"/>
      <w:sz w:val="18"/>
      <w:szCs w:val="18"/>
      <w:lang w:val="en-US" w:eastAsia="zh-CN" w:bidi="ar-SA"/>
    </w:rPr>
  </w:style>
  <w:style w:type="character" w:customStyle="1" w:styleId="58">
    <w:name w:val="报告正文 Char"/>
    <w:link w:val="38"/>
    <w:autoRedefine/>
    <w:qFormat/>
    <w:locked/>
    <w:uiPriority w:val="0"/>
    <w:rPr>
      <w:rFonts w:eastAsia="等线"/>
      <w:sz w:val="24"/>
      <w:szCs w:val="24"/>
      <w:lang w:val="en-US" w:eastAsia="zh-CN" w:bidi="ar-SA"/>
    </w:rPr>
  </w:style>
  <w:style w:type="character" w:customStyle="1" w:styleId="59">
    <w:name w:val="批注文字 字符"/>
    <w:link w:val="10"/>
    <w:qFormat/>
    <w:uiPriority w:val="0"/>
    <w:rPr>
      <w:rFonts w:ascii="Calibri" w:hAnsi="Calibri"/>
      <w:sz w:val="22"/>
      <w:szCs w:val="22"/>
      <w:lang w:eastAsia="en-US"/>
    </w:rPr>
  </w:style>
  <w:style w:type="character" w:customStyle="1" w:styleId="60">
    <w:name w:val="页眉 字符"/>
    <w:link w:val="18"/>
    <w:autoRedefine/>
    <w:qFormat/>
    <w:uiPriority w:val="99"/>
    <w:rPr>
      <w:rFonts w:ascii="Calibri" w:hAnsi="Calibri"/>
      <w:sz w:val="18"/>
      <w:szCs w:val="18"/>
      <w:lang w:eastAsia="en-US"/>
    </w:rPr>
  </w:style>
  <w:style w:type="character" w:customStyle="1" w:styleId="61">
    <w:name w:val="Footer Char"/>
    <w:autoRedefine/>
    <w:qFormat/>
    <w:locked/>
    <w:uiPriority w:val="0"/>
    <w:rPr>
      <w:rFonts w:ascii="等线" w:hAnsi="等线" w:eastAsia="等线" w:cs="等线"/>
      <w:kern w:val="2"/>
      <w:sz w:val="18"/>
      <w:szCs w:val="18"/>
      <w:lang w:val="en-US" w:eastAsia="zh-CN" w:bidi="ar-SA"/>
    </w:rPr>
  </w:style>
  <w:style w:type="character" w:customStyle="1" w:styleId="62">
    <w:name w:val="批注主题 字符"/>
    <w:link w:val="26"/>
    <w:autoRedefine/>
    <w:qFormat/>
    <w:uiPriority w:val="0"/>
    <w:rPr>
      <w:rFonts w:ascii="Calibri" w:hAnsi="Calibri"/>
      <w:b/>
      <w:bCs/>
      <w:sz w:val="22"/>
      <w:szCs w:val="22"/>
      <w:lang w:eastAsia="en-US"/>
    </w:rPr>
  </w:style>
  <w:style w:type="character" w:customStyle="1" w:styleId="63">
    <w:name w:val="清华标题格式 Char"/>
    <w:link w:val="39"/>
    <w:autoRedefine/>
    <w:qFormat/>
    <w:locked/>
    <w:uiPriority w:val="0"/>
    <w:rPr>
      <w:rFonts w:eastAsia="黑体"/>
      <w:b/>
      <w:bCs/>
      <w:kern w:val="44"/>
      <w:sz w:val="32"/>
      <w:szCs w:val="32"/>
      <w:lang w:val="en-US" w:eastAsia="zh-CN" w:bidi="ar-SA"/>
    </w:rPr>
  </w:style>
  <w:style w:type="character" w:customStyle="1" w:styleId="64">
    <w:name w:val="页脚 字符1"/>
    <w:autoRedefine/>
    <w:qFormat/>
    <w:uiPriority w:val="99"/>
    <w:rPr>
      <w:sz w:val="18"/>
      <w:szCs w:val="18"/>
    </w:rPr>
  </w:style>
  <w:style w:type="character" w:customStyle="1" w:styleId="65">
    <w:name w:val="Header Char"/>
    <w:autoRedefine/>
    <w:qFormat/>
    <w:locked/>
    <w:uiPriority w:val="0"/>
    <w:rPr>
      <w:rFonts w:ascii="等线" w:hAnsi="等线" w:eastAsia="等线" w:cs="等线"/>
      <w:kern w:val="2"/>
      <w:sz w:val="18"/>
      <w:szCs w:val="18"/>
      <w:lang w:val="en-US" w:eastAsia="zh-CN" w:bidi="ar-SA"/>
    </w:rPr>
  </w:style>
  <w:style w:type="character" w:customStyle="1" w:styleId="66">
    <w:name w:val="font01"/>
    <w:autoRedefine/>
    <w:qFormat/>
    <w:uiPriority w:val="0"/>
    <w:rPr>
      <w:rFonts w:ascii="Arial" w:hAnsi="Arial" w:cs="Arial"/>
      <w:color w:val="000000"/>
      <w:sz w:val="20"/>
      <w:szCs w:val="20"/>
      <w:u w:val="none"/>
    </w:rPr>
  </w:style>
  <w:style w:type="character" w:customStyle="1" w:styleId="67">
    <w:name w:val="正文文本 字符"/>
    <w:link w:val="11"/>
    <w:autoRedefine/>
    <w:semiHidden/>
    <w:qFormat/>
    <w:locked/>
    <w:uiPriority w:val="0"/>
    <w:rPr>
      <w:rFonts w:ascii="宋体" w:hAnsi="宋体" w:eastAsia="宋体"/>
      <w:sz w:val="21"/>
      <w:szCs w:val="21"/>
      <w:lang w:val="en-US" w:eastAsia="en-US" w:bidi="ar-SA"/>
    </w:rPr>
  </w:style>
  <w:style w:type="character" w:customStyle="1" w:styleId="68">
    <w:name w:val="批注文字 字符2"/>
    <w:basedOn w:val="29"/>
    <w:autoRedefine/>
    <w:qFormat/>
    <w:uiPriority w:val="0"/>
  </w:style>
  <w:style w:type="character" w:customStyle="1" w:styleId="69">
    <w:name w:val="日期 字符"/>
    <w:link w:val="15"/>
    <w:autoRedefine/>
    <w:qFormat/>
    <w:uiPriority w:val="0"/>
    <w:rPr>
      <w:rFonts w:ascii="Calibri" w:hAnsi="Calibri"/>
      <w:sz w:val="22"/>
      <w:szCs w:val="22"/>
      <w:lang w:eastAsia="en-US"/>
    </w:rPr>
  </w:style>
  <w:style w:type="character" w:customStyle="1" w:styleId="70">
    <w:name w:val="图表明 Char"/>
    <w:link w:val="40"/>
    <w:autoRedefine/>
    <w:qFormat/>
    <w:locked/>
    <w:uiPriority w:val="0"/>
    <w:rPr>
      <w:rFonts w:eastAsia="黑体"/>
      <w:sz w:val="18"/>
      <w:szCs w:val="21"/>
    </w:rPr>
  </w:style>
  <w:style w:type="character" w:customStyle="1" w:styleId="71">
    <w:name w:val="表格 字符"/>
    <w:link w:val="51"/>
    <w:autoRedefine/>
    <w:qFormat/>
    <w:uiPriority w:val="0"/>
    <w:rPr>
      <w:rFonts w:eastAsia="黑体"/>
      <w:sz w:val="21"/>
      <w:szCs w:val="22"/>
    </w:rPr>
  </w:style>
  <w:style w:type="character" w:customStyle="1" w:styleId="72">
    <w:name w:val="图片 字符"/>
    <w:link w:val="52"/>
    <w:autoRedefine/>
    <w:qFormat/>
    <w:uiPriority w:val="0"/>
    <w:rPr>
      <w:sz w:val="24"/>
      <w:szCs w:val="22"/>
      <w:lang w:val="en-US" w:eastAsia="zh-CN"/>
    </w:rPr>
  </w:style>
  <w:style w:type="character" w:customStyle="1" w:styleId="73">
    <w:name w:val="段 Char"/>
    <w:link w:val="44"/>
    <w:autoRedefine/>
    <w:qFormat/>
    <w:uiPriority w:val="0"/>
    <w:rPr>
      <w:rFonts w:ascii="宋体"/>
      <w:sz w:val="21"/>
      <w:szCs w:val="22"/>
    </w:rPr>
  </w:style>
  <w:style w:type="table" w:customStyle="1" w:styleId="74">
    <w:name w:val="网格型1"/>
    <w:basedOn w:val="2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
    <w:name w:val="网格型2"/>
    <w:basedOn w:val="2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
    <w:name w:val="Table Normal"/>
    <w:autoRedefine/>
    <w:unhideWhenUsed/>
    <w:qFormat/>
    <w:uiPriority w:val="2"/>
    <w:pPr>
      <w:widowControl w:val="0"/>
    </w:pPr>
    <w:rPr>
      <w:rFonts w:ascii="Calibri" w:hAnsi="Calibri"/>
      <w:sz w:val="22"/>
      <w:szCs w:val="22"/>
      <w:lang w:eastAsia="en-US"/>
    </w:rPr>
    <w:tblPr>
      <w:tblCellMar>
        <w:top w:w="0" w:type="dxa"/>
        <w:left w:w="0" w:type="dxa"/>
        <w:bottom w:w="0" w:type="dxa"/>
        <w:right w:w="0" w:type="dxa"/>
      </w:tblCellMar>
    </w:tblPr>
  </w:style>
  <w:style w:type="paragraph" w:customStyle="1" w:styleId="77">
    <w:name w:val="一级条标题"/>
    <w:next w:val="44"/>
    <w:autoRedefine/>
    <w:qFormat/>
    <w:uiPriority w:val="99"/>
    <w:pPr>
      <w:numPr>
        <w:ilvl w:val="1"/>
        <w:numId w:val="3"/>
      </w:numPr>
      <w:spacing w:beforeLines="50" w:afterLines="50"/>
      <w:ind w:left="568"/>
      <w:outlineLvl w:val="2"/>
    </w:pPr>
    <w:rPr>
      <w:rFonts w:ascii="黑体" w:hAnsi="Times New Roman" w:eastAsia="黑体" w:cs="Times New Roman"/>
      <w:sz w:val="21"/>
      <w:szCs w:val="21"/>
      <w:lang w:val="en-US" w:eastAsia="zh-CN" w:bidi="ar-SA"/>
    </w:rPr>
  </w:style>
  <w:style w:type="character" w:customStyle="1" w:styleId="78">
    <w:name w:val="章标题 Char"/>
    <w:link w:val="79"/>
    <w:autoRedefine/>
    <w:qFormat/>
    <w:locked/>
    <w:uiPriority w:val="99"/>
    <w:rPr>
      <w:rFonts w:ascii="黑体" w:hAnsi="黑体" w:eastAsia="黑体"/>
      <w:sz w:val="21"/>
    </w:rPr>
  </w:style>
  <w:style w:type="paragraph" w:customStyle="1" w:styleId="79">
    <w:name w:val="章标题"/>
    <w:next w:val="44"/>
    <w:link w:val="78"/>
    <w:autoRedefine/>
    <w:qFormat/>
    <w:uiPriority w:val="99"/>
    <w:pPr>
      <w:numPr>
        <w:ilvl w:val="0"/>
        <w:numId w:val="3"/>
      </w:numPr>
      <w:spacing w:beforeLines="100" w:afterLines="100"/>
      <w:jc w:val="both"/>
      <w:outlineLvl w:val="1"/>
    </w:pPr>
    <w:rPr>
      <w:rFonts w:ascii="黑体" w:hAnsi="黑体" w:eastAsia="黑体" w:cs="Times New Roman"/>
      <w:sz w:val="21"/>
      <w:lang w:val="en-US" w:eastAsia="zh-CN" w:bidi="ar-SA"/>
    </w:rPr>
  </w:style>
  <w:style w:type="paragraph" w:customStyle="1" w:styleId="80">
    <w:name w:val="二级条标题"/>
    <w:basedOn w:val="77"/>
    <w:next w:val="44"/>
    <w:autoRedefine/>
    <w:qFormat/>
    <w:uiPriority w:val="99"/>
    <w:pPr>
      <w:numPr>
        <w:ilvl w:val="2"/>
      </w:numPr>
      <w:ind w:left="2552"/>
      <w:outlineLvl w:val="3"/>
    </w:pPr>
  </w:style>
  <w:style w:type="paragraph" w:customStyle="1" w:styleId="81">
    <w:name w:val="四级条标题"/>
    <w:basedOn w:val="1"/>
    <w:next w:val="44"/>
    <w:autoRedefine/>
    <w:qFormat/>
    <w:uiPriority w:val="99"/>
    <w:pPr>
      <w:widowControl/>
      <w:numPr>
        <w:ilvl w:val="4"/>
        <w:numId w:val="3"/>
      </w:numPr>
      <w:spacing w:beforeLines="50" w:afterLines="50" w:line="240" w:lineRule="auto"/>
      <w:ind w:firstLineChars="0"/>
      <w:jc w:val="left"/>
      <w:outlineLvl w:val="5"/>
    </w:pPr>
    <w:rPr>
      <w:rFonts w:ascii="黑体" w:eastAsia="黑体"/>
      <w:sz w:val="21"/>
      <w:szCs w:val="21"/>
      <w:lang w:eastAsia="zh-CN"/>
    </w:rPr>
  </w:style>
  <w:style w:type="paragraph" w:customStyle="1" w:styleId="82">
    <w:name w:val="五级条标题"/>
    <w:basedOn w:val="81"/>
    <w:next w:val="44"/>
    <w:autoRedefine/>
    <w:qFormat/>
    <w:uiPriority w:val="99"/>
    <w:pPr>
      <w:numPr>
        <w:ilvl w:val="5"/>
      </w:numPr>
      <w:outlineLvl w:val="6"/>
    </w:pPr>
  </w:style>
  <w:style w:type="paragraph" w:customStyle="1" w:styleId="83">
    <w:name w:val="正文表标题"/>
    <w:next w:val="44"/>
    <w:autoRedefine/>
    <w:qFormat/>
    <w:uiPriority w:val="99"/>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84">
    <w:name w:val="正文000"/>
    <w:basedOn w:val="1"/>
    <w:autoRedefine/>
    <w:qFormat/>
    <w:uiPriority w:val="0"/>
    <w:pPr>
      <w:widowControl/>
      <w:spacing w:line="360" w:lineRule="auto"/>
      <w:ind w:firstLine="480"/>
      <w:jc w:val="left"/>
    </w:pPr>
    <w:rPr>
      <w:rFonts w:ascii="等线" w:hAnsi="等线" w:eastAsia="等线" w:cs="宋体"/>
      <w:szCs w:val="20"/>
      <w:lang w:bidi="en-US"/>
    </w:rPr>
  </w:style>
  <w:style w:type="paragraph" w:customStyle="1" w:styleId="85">
    <w:name w:val="style2"/>
    <w:basedOn w:val="1"/>
    <w:autoRedefine/>
    <w:qFormat/>
    <w:uiPriority w:val="0"/>
    <w:pPr>
      <w:jc w:val="left"/>
    </w:pPr>
    <w:rPr>
      <w:b/>
      <w:sz w:val="36"/>
      <w:szCs w:val="36"/>
      <w:lang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143A8-4F87-4ACE-B55C-98A2A423CAC3}">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22</Pages>
  <Words>11221</Words>
  <Characters>11862</Characters>
  <Lines>173</Lines>
  <Paragraphs>48</Paragraphs>
  <TotalTime>1</TotalTime>
  <ScaleCrop>false</ScaleCrop>
  <LinksUpToDate>false</LinksUpToDate>
  <CharactersWithSpaces>11938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2020-11-09T08:15:00Z</dcterms:created>
  <dc:creator>微软用户</dc:creator>
  <cp:lastModifiedBy>陈星曈</cp:lastModifiedBy>
  <cp:lastPrinted>2021-06-07T06:41:00Z</cp:lastPrinted>
  <dcterms:modified xsi:type="dcterms:W3CDTF">2025-07-23T07:25:22Z</dcterms:modified>
  <dc:title>6</dc:title>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EBA9B9FCCFE84BDAA45E76D0BEA68C10_13</vt:lpwstr>
  </property>
  <property fmtid="{D5CDD505-2E9C-101B-9397-08002B2CF9AE}" pid="4" name="KSOTemplateDocerSaveRecord">
    <vt:lpwstr>eyJoZGlkIjoiNzhiMjFhNjIyYzE0ZWNjMWI5NjJlODEyYTM4NmRiY2EiLCJ1c2VySWQiOiIxMjEzNjU0MDg4In0=</vt:lpwstr>
  </property>
</Properties>
</file>